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68" w:type="dxa"/>
        <w:tblLook w:val="04A0" w:firstRow="1" w:lastRow="0" w:firstColumn="1" w:lastColumn="0" w:noHBand="0" w:noVBand="1"/>
      </w:tblPr>
      <w:tblGrid>
        <w:gridCol w:w="10768"/>
      </w:tblGrid>
      <w:tr w:rsidR="009B1E08" w14:paraId="79BBFCBB" w14:textId="77777777" w:rsidTr="78DA35D4">
        <w:tc>
          <w:tcPr>
            <w:tcW w:w="10768" w:type="dxa"/>
          </w:tcPr>
          <w:p w14:paraId="52C47C97" w14:textId="067F679B" w:rsidR="009B1E08" w:rsidRDefault="009B1E08" w:rsidP="00CF6BAE">
            <w:pPr>
              <w:pStyle w:val="Heading1"/>
            </w:pPr>
            <w:r>
              <w:rPr>
                <w:b/>
                <w:bCs/>
              </w:rPr>
              <w:t xml:space="preserve">Requirements for Boards </w:t>
            </w:r>
            <w:r>
              <w:t>(Transitional Statement</w:t>
            </w:r>
            <w:r w:rsidR="009468F1">
              <w:t>, in effect until 1 January 202</w:t>
            </w:r>
            <w:r w:rsidR="004935B2">
              <w:t>7</w:t>
            </w:r>
            <w:r>
              <w:t>)</w:t>
            </w:r>
          </w:p>
          <w:p w14:paraId="5A6BAE1E" w14:textId="77777777" w:rsidR="009B1E08" w:rsidRPr="00A520AD" w:rsidRDefault="009B1E08" w:rsidP="00F63B54">
            <w:pPr>
              <w:rPr>
                <w:sz w:val="18"/>
                <w:szCs w:val="18"/>
              </w:rPr>
            </w:pPr>
          </w:p>
          <w:p w14:paraId="56EC8977" w14:textId="40252F72" w:rsidR="009B1E08" w:rsidRPr="00A520AD" w:rsidRDefault="009B1E08" w:rsidP="00F63B54">
            <w:pPr>
              <w:rPr>
                <w:sz w:val="18"/>
                <w:szCs w:val="18"/>
              </w:rPr>
            </w:pPr>
            <w:r w:rsidRPr="00A520AD">
              <w:rPr>
                <w:sz w:val="18"/>
                <w:szCs w:val="18"/>
              </w:rPr>
              <w:t>A board’s primary objectives</w:t>
            </w:r>
            <w:r w:rsidRPr="00A520AD">
              <w:rPr>
                <w:rStyle w:val="FootnoteReference"/>
                <w:sz w:val="18"/>
                <w:szCs w:val="18"/>
              </w:rPr>
              <w:footnoteReference w:id="2"/>
            </w:r>
            <w:r w:rsidRPr="00A520AD">
              <w:rPr>
                <w:sz w:val="18"/>
                <w:szCs w:val="18"/>
              </w:rPr>
              <w:t xml:space="preserve"> in governing a school are to ensure:</w:t>
            </w:r>
          </w:p>
          <w:p w14:paraId="4B62878D" w14:textId="77777777" w:rsidR="009B1E08" w:rsidRPr="00A520AD" w:rsidRDefault="009B1E08" w:rsidP="00F63B54">
            <w:pPr>
              <w:pStyle w:val="ListParagraph"/>
              <w:numPr>
                <w:ilvl w:val="0"/>
                <w:numId w:val="3"/>
              </w:numPr>
              <w:rPr>
                <w:sz w:val="18"/>
                <w:szCs w:val="18"/>
              </w:rPr>
            </w:pPr>
            <w:r w:rsidRPr="00A520AD">
              <w:rPr>
                <w:sz w:val="18"/>
                <w:szCs w:val="18"/>
              </w:rPr>
              <w:t>Every student is able to attain their highest possible standard in educational achievement</w:t>
            </w:r>
          </w:p>
          <w:p w14:paraId="1DF70697" w14:textId="77777777" w:rsidR="009B1E08" w:rsidRPr="00A520AD" w:rsidRDefault="009B1E08" w:rsidP="00F63B54">
            <w:pPr>
              <w:pStyle w:val="ListParagraph"/>
              <w:numPr>
                <w:ilvl w:val="0"/>
                <w:numId w:val="3"/>
              </w:numPr>
              <w:rPr>
                <w:sz w:val="18"/>
                <w:szCs w:val="18"/>
              </w:rPr>
            </w:pPr>
            <w:r w:rsidRPr="00A520AD">
              <w:rPr>
                <w:sz w:val="18"/>
                <w:szCs w:val="18"/>
              </w:rPr>
              <w:t>The school:</w:t>
            </w:r>
          </w:p>
          <w:p w14:paraId="28C48495" w14:textId="77777777" w:rsidR="009B1E08" w:rsidRPr="00A520AD" w:rsidRDefault="009B1E08" w:rsidP="00F63B54">
            <w:pPr>
              <w:pStyle w:val="ListParagraph"/>
              <w:numPr>
                <w:ilvl w:val="1"/>
                <w:numId w:val="3"/>
              </w:numPr>
              <w:rPr>
                <w:sz w:val="18"/>
                <w:szCs w:val="18"/>
              </w:rPr>
            </w:pPr>
            <w:r w:rsidRPr="00A520AD">
              <w:rPr>
                <w:sz w:val="18"/>
                <w:szCs w:val="18"/>
              </w:rPr>
              <w:t>Is physically and emotionally safe</w:t>
            </w:r>
          </w:p>
          <w:p w14:paraId="161F04AD" w14:textId="3C7F4956" w:rsidR="009B1E08" w:rsidRPr="00A520AD" w:rsidRDefault="009B1E08" w:rsidP="00F63B54">
            <w:pPr>
              <w:pStyle w:val="ListParagraph"/>
              <w:numPr>
                <w:ilvl w:val="1"/>
                <w:numId w:val="3"/>
              </w:numPr>
              <w:rPr>
                <w:sz w:val="18"/>
                <w:szCs w:val="18"/>
              </w:rPr>
            </w:pPr>
            <w:r w:rsidRPr="00A520AD">
              <w:rPr>
                <w:sz w:val="18"/>
                <w:szCs w:val="18"/>
              </w:rPr>
              <w:t>Gives effect to relevant student rights</w:t>
            </w:r>
          </w:p>
          <w:p w14:paraId="3F030B55" w14:textId="77777777" w:rsidR="009B1E08" w:rsidRPr="00A520AD" w:rsidRDefault="009B1E08" w:rsidP="00F63B54">
            <w:pPr>
              <w:pStyle w:val="ListParagraph"/>
              <w:numPr>
                <w:ilvl w:val="1"/>
                <w:numId w:val="3"/>
              </w:numPr>
              <w:rPr>
                <w:sz w:val="18"/>
                <w:szCs w:val="18"/>
              </w:rPr>
            </w:pPr>
            <w:r w:rsidRPr="00A520AD">
              <w:rPr>
                <w:sz w:val="18"/>
                <w:szCs w:val="18"/>
              </w:rPr>
              <w:t>Takes all reasonable steps to eliminate racism, stigma, bullying and any other forms of discrimination within the school</w:t>
            </w:r>
          </w:p>
          <w:p w14:paraId="72D69557" w14:textId="77777777" w:rsidR="009B1E08" w:rsidRPr="00A520AD" w:rsidRDefault="009B1E08" w:rsidP="00F63B54">
            <w:pPr>
              <w:pStyle w:val="ListParagraph"/>
              <w:numPr>
                <w:ilvl w:val="0"/>
                <w:numId w:val="3"/>
              </w:numPr>
              <w:rPr>
                <w:sz w:val="18"/>
                <w:szCs w:val="18"/>
              </w:rPr>
            </w:pPr>
            <w:r w:rsidRPr="00A520AD">
              <w:rPr>
                <w:sz w:val="18"/>
                <w:szCs w:val="18"/>
              </w:rPr>
              <w:t>The school is inclusive of, and caters for, students with differing needs, and</w:t>
            </w:r>
          </w:p>
          <w:p w14:paraId="2D2C262A" w14:textId="77777777" w:rsidR="009B1E08" w:rsidRPr="00A520AD" w:rsidRDefault="009B1E08" w:rsidP="00F63B54">
            <w:pPr>
              <w:pStyle w:val="ListParagraph"/>
              <w:numPr>
                <w:ilvl w:val="0"/>
                <w:numId w:val="3"/>
              </w:numPr>
              <w:rPr>
                <w:sz w:val="18"/>
                <w:szCs w:val="18"/>
              </w:rPr>
            </w:pPr>
            <w:r w:rsidRPr="00A520AD">
              <w:rPr>
                <w:sz w:val="18"/>
                <w:szCs w:val="18"/>
              </w:rPr>
              <w:t>The school gives effect to Te Tiriti o Waitangi, including by –</w:t>
            </w:r>
          </w:p>
          <w:p w14:paraId="11C0E0F8" w14:textId="77777777" w:rsidR="009B1E08" w:rsidRPr="00A520AD" w:rsidRDefault="009B1E08" w:rsidP="00F63B54">
            <w:pPr>
              <w:pStyle w:val="ListParagraph"/>
              <w:numPr>
                <w:ilvl w:val="1"/>
                <w:numId w:val="3"/>
              </w:numPr>
              <w:rPr>
                <w:sz w:val="18"/>
                <w:szCs w:val="18"/>
              </w:rPr>
            </w:pPr>
            <w:r w:rsidRPr="00A520AD">
              <w:rPr>
                <w:sz w:val="18"/>
                <w:szCs w:val="18"/>
              </w:rPr>
              <w:t xml:space="preserve">Working to ensure that its plans, policies, and local curriculum reflect local tikanga Māori, </w:t>
            </w:r>
            <w:proofErr w:type="spellStart"/>
            <w:r w:rsidRPr="00A520AD">
              <w:rPr>
                <w:sz w:val="18"/>
                <w:szCs w:val="18"/>
              </w:rPr>
              <w:t>mātauranga</w:t>
            </w:r>
            <w:proofErr w:type="spellEnd"/>
            <w:r w:rsidRPr="00A520AD">
              <w:rPr>
                <w:sz w:val="18"/>
                <w:szCs w:val="18"/>
              </w:rPr>
              <w:t xml:space="preserve"> Māori, and </w:t>
            </w:r>
            <w:proofErr w:type="spellStart"/>
            <w:r w:rsidRPr="00A520AD">
              <w:rPr>
                <w:sz w:val="18"/>
                <w:szCs w:val="18"/>
              </w:rPr>
              <w:t>te</w:t>
            </w:r>
            <w:proofErr w:type="spellEnd"/>
            <w:r w:rsidRPr="00A520AD">
              <w:rPr>
                <w:sz w:val="18"/>
                <w:szCs w:val="18"/>
              </w:rPr>
              <w:t xml:space="preserve"> </w:t>
            </w:r>
            <w:proofErr w:type="spellStart"/>
            <w:r w:rsidRPr="00A520AD">
              <w:rPr>
                <w:sz w:val="18"/>
                <w:szCs w:val="18"/>
              </w:rPr>
              <w:t>ao</w:t>
            </w:r>
            <w:proofErr w:type="spellEnd"/>
            <w:r w:rsidRPr="00A520AD">
              <w:rPr>
                <w:sz w:val="18"/>
                <w:szCs w:val="18"/>
              </w:rPr>
              <w:t xml:space="preserve"> Māori; and</w:t>
            </w:r>
          </w:p>
          <w:p w14:paraId="2F83370D" w14:textId="77777777" w:rsidR="009B1E08" w:rsidRPr="00A520AD" w:rsidRDefault="009B1E08" w:rsidP="00F63B54">
            <w:pPr>
              <w:pStyle w:val="ListParagraph"/>
              <w:numPr>
                <w:ilvl w:val="1"/>
                <w:numId w:val="3"/>
              </w:numPr>
              <w:rPr>
                <w:sz w:val="18"/>
                <w:szCs w:val="18"/>
              </w:rPr>
            </w:pPr>
            <w:r w:rsidRPr="00A520AD">
              <w:rPr>
                <w:sz w:val="18"/>
                <w:szCs w:val="18"/>
              </w:rPr>
              <w:t xml:space="preserve">Taking all reasonable steps to make instruction available in tikanga Māori and </w:t>
            </w:r>
            <w:proofErr w:type="spellStart"/>
            <w:r w:rsidRPr="00A520AD">
              <w:rPr>
                <w:sz w:val="18"/>
                <w:szCs w:val="18"/>
              </w:rPr>
              <w:t>te</w:t>
            </w:r>
            <w:proofErr w:type="spellEnd"/>
            <w:r w:rsidRPr="00A520AD">
              <w:rPr>
                <w:sz w:val="18"/>
                <w:szCs w:val="18"/>
              </w:rPr>
              <w:t xml:space="preserve"> </w:t>
            </w:r>
            <w:proofErr w:type="spellStart"/>
            <w:r w:rsidRPr="00A520AD">
              <w:rPr>
                <w:sz w:val="18"/>
                <w:szCs w:val="18"/>
              </w:rPr>
              <w:t>reo</w:t>
            </w:r>
            <w:proofErr w:type="spellEnd"/>
            <w:r w:rsidRPr="00A520AD">
              <w:rPr>
                <w:sz w:val="18"/>
                <w:szCs w:val="18"/>
              </w:rPr>
              <w:t xml:space="preserve"> Māori; and</w:t>
            </w:r>
          </w:p>
          <w:p w14:paraId="57E3C6F6" w14:textId="77777777" w:rsidR="009B1E08" w:rsidRPr="00A520AD" w:rsidRDefault="009B1E08" w:rsidP="00F63B54">
            <w:pPr>
              <w:pStyle w:val="ListParagraph"/>
              <w:numPr>
                <w:ilvl w:val="1"/>
                <w:numId w:val="3"/>
              </w:numPr>
              <w:rPr>
                <w:sz w:val="18"/>
                <w:szCs w:val="18"/>
              </w:rPr>
            </w:pPr>
            <w:r w:rsidRPr="00A520AD">
              <w:rPr>
                <w:sz w:val="18"/>
                <w:szCs w:val="18"/>
              </w:rPr>
              <w:t>Achieving equitable outcomes for Māori students.</w:t>
            </w:r>
          </w:p>
          <w:p w14:paraId="322B2629" w14:textId="77777777" w:rsidR="009B1E08" w:rsidRPr="00A520AD" w:rsidRDefault="009B1E08" w:rsidP="00F63B54">
            <w:pPr>
              <w:rPr>
                <w:sz w:val="18"/>
                <w:szCs w:val="18"/>
              </w:rPr>
            </w:pPr>
          </w:p>
          <w:p w14:paraId="5854B205" w14:textId="6D71AEEF" w:rsidR="009B1E08" w:rsidRPr="00A520AD" w:rsidRDefault="009B1E08" w:rsidP="00F63B54">
            <w:pPr>
              <w:rPr>
                <w:color w:val="000000" w:themeColor="text1"/>
                <w:sz w:val="18"/>
                <w:szCs w:val="18"/>
              </w:rPr>
            </w:pPr>
            <w:r w:rsidRPr="00A520AD">
              <w:rPr>
                <w:sz w:val="18"/>
                <w:szCs w:val="18"/>
              </w:rPr>
              <w:t xml:space="preserve">To meet its primary objectives, a board must have particular regard to the </w:t>
            </w:r>
            <w:hyperlink r:id="rId8" w:history="1">
              <w:r>
                <w:rPr>
                  <w:rStyle w:val="Hyperlink"/>
                  <w:sz w:val="18"/>
                  <w:szCs w:val="18"/>
                </w:rPr>
                <w:t>National Education and Learning Priorities (NELP)</w:t>
              </w:r>
            </w:hyperlink>
            <w:r>
              <w:rPr>
                <w:color w:val="FF0000"/>
                <w:sz w:val="18"/>
                <w:szCs w:val="18"/>
              </w:rPr>
              <w:t xml:space="preserve"> </w:t>
            </w:r>
            <w:r w:rsidRPr="0050247B">
              <w:rPr>
                <w:rStyle w:val="FootnoteReference"/>
                <w:sz w:val="18"/>
                <w:szCs w:val="18"/>
              </w:rPr>
              <w:footnoteReference w:id="3"/>
            </w:r>
            <w:r w:rsidRPr="00A520AD">
              <w:rPr>
                <w:color w:val="000000" w:themeColor="text1"/>
                <w:sz w:val="18"/>
                <w:szCs w:val="18"/>
              </w:rPr>
              <w:t>and ensure the school’s principal and staff develop and implement a curriculum for students in years 1-13</w:t>
            </w:r>
            <w:r w:rsidR="00D45846">
              <w:rPr>
                <w:color w:val="000000" w:themeColor="text1"/>
                <w:sz w:val="18"/>
                <w:szCs w:val="18"/>
              </w:rPr>
              <w:t xml:space="preserve"> </w:t>
            </w:r>
            <w:r w:rsidRPr="00A520AD">
              <w:rPr>
                <w:rStyle w:val="FootnoteReference"/>
                <w:color w:val="000000" w:themeColor="text1"/>
                <w:sz w:val="18"/>
                <w:szCs w:val="18"/>
              </w:rPr>
              <w:footnoteReference w:id="4"/>
            </w:r>
            <w:r w:rsidR="00D45846">
              <w:rPr>
                <w:color w:val="000000" w:themeColor="text1"/>
                <w:sz w:val="18"/>
                <w:szCs w:val="18"/>
              </w:rPr>
              <w:t xml:space="preserve"> </w:t>
            </w:r>
            <w:r w:rsidR="00D45846">
              <w:rPr>
                <w:rStyle w:val="FootnoteReference"/>
                <w:color w:val="000000" w:themeColor="text1"/>
                <w:sz w:val="18"/>
                <w:szCs w:val="18"/>
              </w:rPr>
              <w:footnoteReference w:id="5"/>
            </w:r>
            <w:r w:rsidRPr="00A520AD">
              <w:rPr>
                <w:color w:val="000000" w:themeColor="text1"/>
                <w:sz w:val="18"/>
                <w:szCs w:val="18"/>
              </w:rPr>
              <w:t>:</w:t>
            </w:r>
          </w:p>
          <w:p w14:paraId="5584E463" w14:textId="149BC91F" w:rsidR="009B1E08" w:rsidRPr="00A520AD" w:rsidRDefault="009B1E08" w:rsidP="00F63B54">
            <w:pPr>
              <w:pStyle w:val="ListParagraph"/>
              <w:numPr>
                <w:ilvl w:val="0"/>
                <w:numId w:val="1"/>
              </w:numPr>
              <w:rPr>
                <w:color w:val="000000" w:themeColor="text1"/>
                <w:sz w:val="18"/>
                <w:szCs w:val="18"/>
              </w:rPr>
            </w:pPr>
            <w:r w:rsidRPr="00A520AD">
              <w:rPr>
                <w:color w:val="000000" w:themeColor="text1"/>
                <w:sz w:val="18"/>
                <w:szCs w:val="18"/>
              </w:rPr>
              <w:t>That is guided by the Vision set out on page 8</w:t>
            </w:r>
          </w:p>
          <w:p w14:paraId="443E3DD0" w14:textId="6A7E2731" w:rsidR="009B1E08" w:rsidRPr="00A520AD" w:rsidRDefault="009B1E08" w:rsidP="00F63B54">
            <w:pPr>
              <w:pStyle w:val="ListParagraph"/>
              <w:numPr>
                <w:ilvl w:val="0"/>
                <w:numId w:val="1"/>
              </w:numPr>
              <w:rPr>
                <w:color w:val="000000" w:themeColor="text1"/>
                <w:sz w:val="18"/>
                <w:szCs w:val="18"/>
              </w:rPr>
            </w:pPr>
            <w:r w:rsidRPr="00A520AD">
              <w:rPr>
                <w:color w:val="000000" w:themeColor="text1"/>
                <w:sz w:val="18"/>
                <w:szCs w:val="18"/>
              </w:rPr>
              <w:t xml:space="preserve">That is underpinned by the </w:t>
            </w:r>
            <w:proofErr w:type="gramStart"/>
            <w:r w:rsidRPr="00A520AD">
              <w:rPr>
                <w:color w:val="000000" w:themeColor="text1"/>
                <w:sz w:val="18"/>
                <w:szCs w:val="18"/>
              </w:rPr>
              <w:t>Principles</w:t>
            </w:r>
            <w:proofErr w:type="gramEnd"/>
            <w:r w:rsidRPr="00A520AD">
              <w:rPr>
                <w:color w:val="000000" w:themeColor="text1"/>
                <w:sz w:val="18"/>
                <w:szCs w:val="18"/>
              </w:rPr>
              <w:t xml:space="preserve"> set out on page 9</w:t>
            </w:r>
          </w:p>
          <w:p w14:paraId="22D61FCB" w14:textId="04B279DE" w:rsidR="009B1E08" w:rsidRPr="00A520AD" w:rsidRDefault="009B1E08" w:rsidP="00F63B54">
            <w:pPr>
              <w:pStyle w:val="ListParagraph"/>
              <w:numPr>
                <w:ilvl w:val="0"/>
                <w:numId w:val="1"/>
              </w:numPr>
              <w:rPr>
                <w:color w:val="000000" w:themeColor="text1"/>
                <w:sz w:val="18"/>
                <w:szCs w:val="18"/>
              </w:rPr>
            </w:pPr>
            <w:r w:rsidRPr="00A520AD">
              <w:rPr>
                <w:color w:val="000000" w:themeColor="text1"/>
                <w:sz w:val="18"/>
                <w:szCs w:val="18"/>
              </w:rPr>
              <w:t>In which the Values set out on page 10 are encouraged and modelled and explored by students</w:t>
            </w:r>
          </w:p>
          <w:p w14:paraId="0B8E7050" w14:textId="6D7E194B" w:rsidR="009B1E08" w:rsidRPr="00A520AD" w:rsidRDefault="009B1E08" w:rsidP="00F63B54">
            <w:pPr>
              <w:pStyle w:val="ListParagraph"/>
              <w:numPr>
                <w:ilvl w:val="0"/>
                <w:numId w:val="1"/>
              </w:numPr>
              <w:rPr>
                <w:color w:val="000000" w:themeColor="text1"/>
                <w:sz w:val="18"/>
                <w:szCs w:val="18"/>
              </w:rPr>
            </w:pPr>
            <w:r w:rsidRPr="00A520AD">
              <w:rPr>
                <w:color w:val="000000" w:themeColor="text1"/>
                <w:sz w:val="18"/>
                <w:szCs w:val="18"/>
              </w:rPr>
              <w:t>That supports students to develop the five Key Competencies set out on pages 12-13</w:t>
            </w:r>
          </w:p>
          <w:p w14:paraId="72775E10" w14:textId="3F1410DF" w:rsidR="009B1E08" w:rsidRPr="00A520AD" w:rsidRDefault="009B1E08" w:rsidP="00F63B54">
            <w:pPr>
              <w:pStyle w:val="ListParagraph"/>
              <w:numPr>
                <w:ilvl w:val="0"/>
                <w:numId w:val="1"/>
              </w:numPr>
              <w:rPr>
                <w:color w:val="000000" w:themeColor="text1"/>
                <w:sz w:val="18"/>
                <w:szCs w:val="18"/>
              </w:rPr>
            </w:pPr>
            <w:r w:rsidRPr="00A520AD">
              <w:rPr>
                <w:color w:val="000000" w:themeColor="text1"/>
                <w:sz w:val="18"/>
                <w:szCs w:val="18"/>
              </w:rPr>
              <w:t>That provides all students with effectively taught learning and teaching programmes in the learning areas listed below.</w:t>
            </w:r>
          </w:p>
          <w:p w14:paraId="58849E91" w14:textId="77777777" w:rsidR="009B1E08" w:rsidRPr="00A520AD" w:rsidRDefault="009B1E08" w:rsidP="00F63B54">
            <w:pPr>
              <w:ind w:left="284"/>
              <w:rPr>
                <w:color w:val="000000" w:themeColor="text1"/>
                <w:sz w:val="18"/>
                <w:szCs w:val="18"/>
              </w:rPr>
            </w:pPr>
          </w:p>
          <w:p w14:paraId="5C1086A6" w14:textId="0C105AF5" w:rsidR="009B1E08" w:rsidRPr="00A520AD" w:rsidRDefault="009B1E08" w:rsidP="00B307A5">
            <w:pPr>
              <w:pStyle w:val="ListParagraph"/>
              <w:numPr>
                <w:ilvl w:val="1"/>
                <w:numId w:val="1"/>
              </w:numPr>
              <w:rPr>
                <w:color w:val="000000" w:themeColor="text1"/>
                <w:sz w:val="18"/>
                <w:szCs w:val="18"/>
              </w:rPr>
            </w:pPr>
            <w:r w:rsidRPr="00A520AD">
              <w:rPr>
                <w:color w:val="000000" w:themeColor="text1"/>
                <w:sz w:val="18"/>
                <w:szCs w:val="18"/>
              </w:rPr>
              <w:t>English, as specified on page 18</w:t>
            </w:r>
          </w:p>
          <w:p w14:paraId="0668A2C3" w14:textId="05E5AF00" w:rsidR="009B1E08" w:rsidRPr="00A520AD" w:rsidRDefault="009B1E08" w:rsidP="00B307A5">
            <w:pPr>
              <w:pStyle w:val="ListParagraph"/>
              <w:numPr>
                <w:ilvl w:val="1"/>
                <w:numId w:val="1"/>
              </w:numPr>
              <w:rPr>
                <w:color w:val="000000" w:themeColor="text1"/>
                <w:sz w:val="18"/>
                <w:szCs w:val="18"/>
              </w:rPr>
            </w:pPr>
            <w:r w:rsidRPr="00A520AD">
              <w:rPr>
                <w:color w:val="000000" w:themeColor="text1"/>
                <w:sz w:val="18"/>
                <w:szCs w:val="18"/>
              </w:rPr>
              <w:t>the Arts as specified on pages 20-21</w:t>
            </w:r>
          </w:p>
          <w:p w14:paraId="32BB446E" w14:textId="577759E2" w:rsidR="009B1E08" w:rsidRPr="00A520AD" w:rsidRDefault="009B1E08" w:rsidP="00B307A5">
            <w:pPr>
              <w:pStyle w:val="ListParagraph"/>
              <w:numPr>
                <w:ilvl w:val="1"/>
                <w:numId w:val="1"/>
              </w:numPr>
              <w:rPr>
                <w:color w:val="000000" w:themeColor="text1"/>
                <w:sz w:val="18"/>
                <w:szCs w:val="18"/>
              </w:rPr>
            </w:pPr>
            <w:r w:rsidRPr="00A520AD">
              <w:rPr>
                <w:color w:val="000000" w:themeColor="text1"/>
                <w:sz w:val="18"/>
                <w:szCs w:val="18"/>
              </w:rPr>
              <w:t>Health and Physical Education, as specified on pages 22-23.  Also, at least once every 2 years, after consulting the school community, the board must adopt a statement on the delivery of the health curriculum</w:t>
            </w:r>
            <w:r w:rsidRPr="00A520AD">
              <w:rPr>
                <w:rStyle w:val="FootnoteReference"/>
                <w:color w:val="000000" w:themeColor="text1"/>
                <w:sz w:val="18"/>
                <w:szCs w:val="18"/>
              </w:rPr>
              <w:footnoteReference w:id="6"/>
            </w:r>
          </w:p>
          <w:p w14:paraId="7A5647BB" w14:textId="18C00680" w:rsidR="009B1E08" w:rsidRPr="00A520AD" w:rsidRDefault="009B1E08" w:rsidP="00B307A5">
            <w:pPr>
              <w:pStyle w:val="ListParagraph"/>
              <w:numPr>
                <w:ilvl w:val="1"/>
                <w:numId w:val="1"/>
              </w:numPr>
              <w:rPr>
                <w:color w:val="000000" w:themeColor="text1"/>
                <w:sz w:val="18"/>
                <w:szCs w:val="18"/>
              </w:rPr>
            </w:pPr>
            <w:r w:rsidRPr="00A520AD">
              <w:rPr>
                <w:color w:val="000000" w:themeColor="text1"/>
                <w:sz w:val="18"/>
                <w:szCs w:val="18"/>
              </w:rPr>
              <w:t>Mathematics and Statistics, as specified on page 26</w:t>
            </w:r>
          </w:p>
          <w:p w14:paraId="72CCD383" w14:textId="19C61659" w:rsidR="009B1E08" w:rsidRPr="00A520AD" w:rsidRDefault="009B1E08" w:rsidP="00B307A5">
            <w:pPr>
              <w:pStyle w:val="ListParagraph"/>
              <w:numPr>
                <w:ilvl w:val="1"/>
                <w:numId w:val="1"/>
              </w:numPr>
              <w:rPr>
                <w:color w:val="000000" w:themeColor="text1"/>
                <w:sz w:val="18"/>
                <w:szCs w:val="18"/>
              </w:rPr>
            </w:pPr>
            <w:r w:rsidRPr="00A520AD">
              <w:rPr>
                <w:color w:val="000000" w:themeColor="text1"/>
                <w:sz w:val="18"/>
                <w:szCs w:val="18"/>
              </w:rPr>
              <w:t>Science, as specified on pages 29-29</w:t>
            </w:r>
          </w:p>
          <w:p w14:paraId="382850B0" w14:textId="3709D2DF" w:rsidR="009B1E08" w:rsidRDefault="009B1E08" w:rsidP="00B307A5">
            <w:pPr>
              <w:pStyle w:val="ListParagraph"/>
              <w:numPr>
                <w:ilvl w:val="1"/>
                <w:numId w:val="1"/>
              </w:numPr>
              <w:rPr>
                <w:sz w:val="18"/>
                <w:szCs w:val="18"/>
              </w:rPr>
            </w:pPr>
            <w:r w:rsidRPr="00A520AD">
              <w:rPr>
                <w:color w:val="000000" w:themeColor="text1"/>
                <w:sz w:val="18"/>
                <w:szCs w:val="18"/>
              </w:rPr>
              <w:t xml:space="preserve">Technology, as specified at </w:t>
            </w:r>
            <w:hyperlink r:id="rId9" w:history="1">
              <w:r w:rsidRPr="00B307A5">
                <w:rPr>
                  <w:rStyle w:val="Hyperlink"/>
                  <w:sz w:val="18"/>
                  <w:szCs w:val="18"/>
                </w:rPr>
                <w:t>https://nzcurriculum.tki.org.nz/The-New-Zealand-Curriculum/Technology</w:t>
              </w:r>
            </w:hyperlink>
            <w:r w:rsidR="00FE2D96">
              <w:rPr>
                <w:rStyle w:val="Hyperlink"/>
                <w:sz w:val="18"/>
                <w:szCs w:val="18"/>
              </w:rPr>
              <w:t>;</w:t>
            </w:r>
            <w:r w:rsidR="00EC5B43" w:rsidRPr="00EC5B43">
              <w:rPr>
                <w:sz w:val="18"/>
                <w:szCs w:val="18"/>
              </w:rPr>
              <w:t xml:space="preserve"> and</w:t>
            </w:r>
          </w:p>
          <w:p w14:paraId="4CFE6549" w14:textId="7346715E" w:rsidR="005C01C6" w:rsidRPr="0015143D" w:rsidRDefault="009B1E08" w:rsidP="0015143D">
            <w:pPr>
              <w:pStyle w:val="ListParagraph"/>
              <w:numPr>
                <w:ilvl w:val="1"/>
                <w:numId w:val="1"/>
              </w:numPr>
              <w:rPr>
                <w:rStyle w:val="Hyperlink"/>
                <w:color w:val="auto"/>
                <w:sz w:val="18"/>
                <w:szCs w:val="18"/>
                <w:u w:val="none"/>
              </w:rPr>
            </w:pPr>
            <w:r w:rsidRPr="0015143D">
              <w:rPr>
                <w:sz w:val="18"/>
                <w:szCs w:val="18"/>
              </w:rPr>
              <w:t>Social Sciences</w:t>
            </w:r>
            <w:r w:rsidR="00AD14DF" w:rsidRPr="0015143D">
              <w:rPr>
                <w:sz w:val="18"/>
                <w:szCs w:val="18"/>
              </w:rPr>
              <w:t xml:space="preserve"> including Aotearoa New Zealand histories,</w:t>
            </w:r>
            <w:r w:rsidR="00066352" w:rsidRPr="0015143D">
              <w:rPr>
                <w:sz w:val="18"/>
                <w:szCs w:val="18"/>
              </w:rPr>
              <w:t xml:space="preserve"> </w:t>
            </w:r>
            <w:r w:rsidRPr="0015143D">
              <w:rPr>
                <w:sz w:val="18"/>
                <w:szCs w:val="18"/>
              </w:rPr>
              <w:t xml:space="preserve">as specified at </w:t>
            </w:r>
            <w:hyperlink r:id="rId10" w:history="1">
              <w:r w:rsidRPr="0015143D">
                <w:rPr>
                  <w:rStyle w:val="Hyperlink"/>
                  <w:sz w:val="18"/>
                  <w:szCs w:val="18"/>
                </w:rPr>
                <w:t>https://nzcurriculum.tki.org.nz/The-New-Zealand-Curriculum/Social-sciences/</w:t>
              </w:r>
            </w:hyperlink>
            <w:r w:rsidR="0015143D" w:rsidRPr="0015143D">
              <w:rPr>
                <w:rStyle w:val="Hyperlink"/>
                <w:sz w:val="18"/>
                <w:szCs w:val="18"/>
              </w:rPr>
              <w:t xml:space="preserve"> </w:t>
            </w:r>
            <w:r w:rsidR="0015143D">
              <w:rPr>
                <w:rStyle w:val="Hyperlink"/>
                <w:sz w:val="18"/>
                <w:szCs w:val="18"/>
              </w:rPr>
              <w:t xml:space="preserve"> </w:t>
            </w:r>
            <w:r w:rsidR="0015143D">
              <w:rPr>
                <w:rStyle w:val="Hyperlink"/>
                <w:color w:val="auto"/>
                <w:sz w:val="18"/>
                <w:szCs w:val="18"/>
                <w:u w:val="none"/>
              </w:rPr>
              <w:t>a</w:t>
            </w:r>
            <w:r w:rsidR="0015143D" w:rsidRPr="0015143D">
              <w:rPr>
                <w:rStyle w:val="Hyperlink"/>
                <w:color w:val="auto"/>
                <w:sz w:val="18"/>
                <w:szCs w:val="18"/>
                <w:u w:val="none"/>
              </w:rPr>
              <w:t>nd</w:t>
            </w:r>
          </w:p>
          <w:p w14:paraId="61C08E96" w14:textId="39872862" w:rsidR="005C01C6" w:rsidRPr="00080C89" w:rsidRDefault="005C01C6" w:rsidP="0015143D">
            <w:pPr>
              <w:pStyle w:val="ListParagraph"/>
              <w:numPr>
                <w:ilvl w:val="0"/>
                <w:numId w:val="1"/>
              </w:numPr>
              <w:rPr>
                <w:sz w:val="18"/>
                <w:szCs w:val="18"/>
              </w:rPr>
            </w:pPr>
            <w:r>
              <w:rPr>
                <w:sz w:val="18"/>
                <w:szCs w:val="18"/>
              </w:rPr>
              <w:t xml:space="preserve">Meets requirements </w:t>
            </w:r>
            <w:r w:rsidR="00974F3F">
              <w:rPr>
                <w:sz w:val="18"/>
                <w:szCs w:val="18"/>
              </w:rPr>
              <w:t>for structuring teaching time for reading, writing and maths in Years 0 to 8</w:t>
            </w:r>
            <w:r w:rsidR="004B3CEA">
              <w:rPr>
                <w:rStyle w:val="FootnoteReference"/>
                <w:sz w:val="18"/>
                <w:szCs w:val="18"/>
              </w:rPr>
              <w:footnoteReference w:id="7"/>
            </w:r>
            <w:r w:rsidR="00760479">
              <w:rPr>
                <w:sz w:val="18"/>
                <w:szCs w:val="18"/>
              </w:rPr>
              <w:t>.</w:t>
            </w:r>
          </w:p>
          <w:p w14:paraId="3210225F" w14:textId="77777777" w:rsidR="00D62EB7" w:rsidRDefault="00D62EB7" w:rsidP="00F63B54">
            <w:pPr>
              <w:ind w:left="284"/>
              <w:rPr>
                <w:strike/>
                <w:sz w:val="18"/>
                <w:szCs w:val="18"/>
              </w:rPr>
            </w:pPr>
          </w:p>
          <w:p w14:paraId="3158EA19" w14:textId="1A382E28" w:rsidR="009B1E08" w:rsidRPr="008A45D1" w:rsidRDefault="009B1E08" w:rsidP="002B3E6A">
            <w:pPr>
              <w:rPr>
                <w:color w:val="000000" w:themeColor="text1"/>
                <w:sz w:val="18"/>
                <w:szCs w:val="18"/>
              </w:rPr>
            </w:pPr>
            <w:r w:rsidRPr="78DA35D4">
              <w:rPr>
                <w:sz w:val="18"/>
                <w:szCs w:val="18"/>
              </w:rPr>
              <w:t xml:space="preserve">Changes have been made to how boards plan and report their performance </w:t>
            </w:r>
            <w:r w:rsidRPr="78DA35D4">
              <w:rPr>
                <w:rFonts w:cs="Arial"/>
                <w:sz w:val="18"/>
                <w:szCs w:val="18"/>
              </w:rPr>
              <w:t>(</w:t>
            </w:r>
            <w:hyperlink r:id="rId11">
              <w:r w:rsidRPr="78DA35D4">
                <w:rPr>
                  <w:rStyle w:val="Hyperlink"/>
                  <w:rFonts w:cs="Arial"/>
                  <w:color w:val="0563C1"/>
                  <w:sz w:val="18"/>
                  <w:szCs w:val="18"/>
                </w:rPr>
                <w:t xml:space="preserve">Education and Training Act 2020, ss </w:t>
              </w:r>
              <w:r w:rsidR="00501C62" w:rsidRPr="78DA35D4">
                <w:rPr>
                  <w:rStyle w:val="Hyperlink"/>
                  <w:rFonts w:cs="Arial"/>
                  <w:color w:val="0563C1"/>
                  <w:sz w:val="18"/>
                  <w:szCs w:val="18"/>
                </w:rPr>
                <w:t>13</w:t>
              </w:r>
              <w:r w:rsidR="00501C62" w:rsidRPr="78DA35D4">
                <w:rPr>
                  <w:rStyle w:val="Hyperlink"/>
                  <w:rFonts w:cs="Arial"/>
                  <w:color w:val="4472C4" w:themeColor="accent1"/>
                  <w:sz w:val="18"/>
                  <w:szCs w:val="18"/>
                </w:rPr>
                <w:t>4</w:t>
              </w:r>
              <w:r w:rsidRPr="78DA35D4">
                <w:rPr>
                  <w:rStyle w:val="Hyperlink"/>
                  <w:rFonts w:cs="Arial"/>
                  <w:color w:val="0563C1"/>
                  <w:sz w:val="18"/>
                  <w:szCs w:val="18"/>
                </w:rPr>
                <w:t>-146</w:t>
              </w:r>
            </w:hyperlink>
            <w:r w:rsidRPr="78DA35D4">
              <w:rPr>
                <w:color w:val="FF0000"/>
                <w:sz w:val="18"/>
                <w:szCs w:val="18"/>
              </w:rPr>
              <w:t>.</w:t>
            </w:r>
            <w:r w:rsidR="002B20CE" w:rsidRPr="78DA35D4">
              <w:rPr>
                <w:color w:val="000000" w:themeColor="text1"/>
                <w:sz w:val="18"/>
                <w:szCs w:val="18"/>
              </w:rPr>
              <w:t xml:space="preserve">and </w:t>
            </w:r>
            <w:r w:rsidR="00934647" w:rsidRPr="78DA35D4">
              <w:rPr>
                <w:color w:val="000000" w:themeColor="text1"/>
                <w:sz w:val="18"/>
                <w:szCs w:val="18"/>
              </w:rPr>
              <w:t>Education (School Planning and Reporting)</w:t>
            </w:r>
            <w:r w:rsidR="000F52FA" w:rsidRPr="78DA35D4">
              <w:rPr>
                <w:color w:val="000000" w:themeColor="text1"/>
                <w:sz w:val="18"/>
                <w:szCs w:val="18"/>
              </w:rPr>
              <w:t xml:space="preserve"> Regulations 2023</w:t>
            </w:r>
            <w:r w:rsidR="49015744" w:rsidRPr="78DA35D4">
              <w:rPr>
                <w:color w:val="000000" w:themeColor="text1"/>
                <w:sz w:val="18"/>
                <w:szCs w:val="18"/>
              </w:rPr>
              <w:t>.</w:t>
            </w:r>
            <w:r w:rsidRPr="78DA35D4">
              <w:rPr>
                <w:color w:val="000000" w:themeColor="text1"/>
                <w:sz w:val="18"/>
                <w:szCs w:val="18"/>
              </w:rPr>
              <w:t xml:space="preserve"> These changes came into effect on 1 January 2023</w:t>
            </w:r>
            <w:r w:rsidR="009A7CB1" w:rsidRPr="78DA35D4">
              <w:rPr>
                <w:color w:val="000000" w:themeColor="text1"/>
                <w:sz w:val="18"/>
                <w:szCs w:val="18"/>
              </w:rPr>
              <w:t xml:space="preserve"> and</w:t>
            </w:r>
            <w:r w:rsidR="00676EA0" w:rsidRPr="78DA35D4">
              <w:rPr>
                <w:color w:val="000000" w:themeColor="text1"/>
                <w:sz w:val="18"/>
                <w:szCs w:val="18"/>
              </w:rPr>
              <w:t xml:space="preserve"> 1 August 2023 respec</w:t>
            </w:r>
            <w:r w:rsidR="009A7CB1" w:rsidRPr="78DA35D4">
              <w:rPr>
                <w:color w:val="000000" w:themeColor="text1"/>
                <w:sz w:val="18"/>
                <w:szCs w:val="18"/>
              </w:rPr>
              <w:t>tively</w:t>
            </w:r>
            <w:r w:rsidRPr="78DA35D4">
              <w:rPr>
                <w:color w:val="000000" w:themeColor="text1"/>
                <w:sz w:val="18"/>
                <w:szCs w:val="18"/>
              </w:rPr>
              <w:t>. The broad aims of the changes are to ensure boards are focused on meeting their primary objectives, giving effect to Te Tiriti o Waitangi, and having particular regard to the NELP.</w:t>
            </w:r>
          </w:p>
          <w:p w14:paraId="450F0B8B" w14:textId="77777777" w:rsidR="009B1E08" w:rsidRPr="00A520AD" w:rsidRDefault="009B1E08" w:rsidP="002B3E6A">
            <w:pPr>
              <w:rPr>
                <w:color w:val="000000" w:themeColor="text1"/>
                <w:sz w:val="18"/>
                <w:szCs w:val="18"/>
              </w:rPr>
            </w:pPr>
          </w:p>
          <w:p w14:paraId="6D3AB07B" w14:textId="2FB673AD" w:rsidR="009B1E08" w:rsidRPr="00A520AD" w:rsidRDefault="009B1E08" w:rsidP="002B3E6A">
            <w:pPr>
              <w:rPr>
                <w:color w:val="000000" w:themeColor="text1"/>
                <w:sz w:val="18"/>
                <w:szCs w:val="18"/>
              </w:rPr>
            </w:pPr>
            <w:r w:rsidRPr="00A520AD">
              <w:rPr>
                <w:color w:val="000000" w:themeColor="text1"/>
                <w:sz w:val="18"/>
                <w:szCs w:val="18"/>
              </w:rPr>
              <w:t>Each board must</w:t>
            </w:r>
            <w:r w:rsidR="00080C89">
              <w:rPr>
                <w:color w:val="000000" w:themeColor="text1"/>
                <w:sz w:val="18"/>
                <w:szCs w:val="18"/>
              </w:rPr>
              <w:t>:</w:t>
            </w:r>
          </w:p>
          <w:p w14:paraId="7F91487B" w14:textId="77777777" w:rsidR="009B1E08" w:rsidRDefault="009B1E08" w:rsidP="002B3E6A">
            <w:pPr>
              <w:pStyle w:val="ListParagraph"/>
              <w:numPr>
                <w:ilvl w:val="0"/>
                <w:numId w:val="2"/>
              </w:numPr>
              <w:rPr>
                <w:color w:val="000000" w:themeColor="text1"/>
                <w:sz w:val="18"/>
                <w:szCs w:val="18"/>
              </w:rPr>
            </w:pPr>
            <w:r w:rsidRPr="00A520AD">
              <w:rPr>
                <w:color w:val="000000" w:themeColor="text1"/>
                <w:sz w:val="18"/>
                <w:szCs w:val="18"/>
              </w:rPr>
              <w:t>Have</w:t>
            </w:r>
          </w:p>
          <w:p w14:paraId="039682CF" w14:textId="3E904EE8" w:rsidR="009B1E08" w:rsidRPr="001B2C3D" w:rsidRDefault="00501C62" w:rsidP="002B3E6A">
            <w:pPr>
              <w:pStyle w:val="ListParagraph"/>
              <w:numPr>
                <w:ilvl w:val="1"/>
                <w:numId w:val="2"/>
              </w:numPr>
              <w:rPr>
                <w:sz w:val="18"/>
                <w:szCs w:val="18"/>
              </w:rPr>
            </w:pPr>
            <w:r w:rsidRPr="001B2C3D">
              <w:rPr>
                <w:sz w:val="18"/>
                <w:szCs w:val="18"/>
              </w:rPr>
              <w:t xml:space="preserve">a </w:t>
            </w:r>
            <w:proofErr w:type="gramStart"/>
            <w:r w:rsidRPr="001B2C3D">
              <w:rPr>
                <w:sz w:val="18"/>
                <w:szCs w:val="18"/>
              </w:rPr>
              <w:t>3 year</w:t>
            </w:r>
            <w:proofErr w:type="gramEnd"/>
            <w:r w:rsidRPr="001B2C3D">
              <w:rPr>
                <w:sz w:val="18"/>
                <w:szCs w:val="18"/>
              </w:rPr>
              <w:t xml:space="preserve"> strategic plan developed in consultation with their school community, that sets out how the board will meet their primary objectives (set out in the Education and Training Act 2020).</w:t>
            </w:r>
          </w:p>
          <w:p w14:paraId="7C533F82" w14:textId="34142CCE" w:rsidR="00501C62" w:rsidRPr="001B2C3D" w:rsidRDefault="00501C62" w:rsidP="00501C62">
            <w:pPr>
              <w:pStyle w:val="ListParagraph"/>
              <w:numPr>
                <w:ilvl w:val="1"/>
                <w:numId w:val="2"/>
              </w:numPr>
              <w:rPr>
                <w:sz w:val="18"/>
                <w:szCs w:val="18"/>
              </w:rPr>
            </w:pPr>
            <w:r w:rsidRPr="001B2C3D">
              <w:rPr>
                <w:sz w:val="18"/>
                <w:szCs w:val="18"/>
              </w:rPr>
              <w:t>an annual implementation plan that sets annual targets and actions for working towards their strategic goals</w:t>
            </w:r>
          </w:p>
          <w:p w14:paraId="7AF2C396" w14:textId="45295342" w:rsidR="007D566F" w:rsidRPr="001B2C3D" w:rsidRDefault="00501C62" w:rsidP="007D566F">
            <w:pPr>
              <w:pStyle w:val="ListParagraph"/>
              <w:numPr>
                <w:ilvl w:val="1"/>
                <w:numId w:val="2"/>
              </w:numPr>
              <w:rPr>
                <w:sz w:val="18"/>
                <w:szCs w:val="18"/>
              </w:rPr>
            </w:pPr>
            <w:r w:rsidRPr="001B2C3D">
              <w:rPr>
                <w:sz w:val="18"/>
                <w:szCs w:val="18"/>
              </w:rPr>
              <w:t xml:space="preserve">an annual report that reports on the school’s </w:t>
            </w:r>
            <w:r w:rsidR="007D566F" w:rsidRPr="001B2C3D">
              <w:rPr>
                <w:sz w:val="18"/>
                <w:szCs w:val="18"/>
              </w:rPr>
              <w:t xml:space="preserve">finances and </w:t>
            </w:r>
            <w:r w:rsidRPr="001B2C3D">
              <w:rPr>
                <w:sz w:val="18"/>
                <w:szCs w:val="18"/>
              </w:rPr>
              <w:t>progress</w:t>
            </w:r>
            <w:r w:rsidR="007D566F" w:rsidRPr="001B2C3D">
              <w:rPr>
                <w:sz w:val="18"/>
                <w:szCs w:val="18"/>
              </w:rPr>
              <w:t xml:space="preserve"> over the last year</w:t>
            </w:r>
            <w:r w:rsidRPr="001B2C3D">
              <w:rPr>
                <w:sz w:val="18"/>
                <w:szCs w:val="18"/>
              </w:rPr>
              <w:t xml:space="preserve"> </w:t>
            </w:r>
            <w:r w:rsidR="007D566F" w:rsidRPr="001B2C3D">
              <w:rPr>
                <w:sz w:val="18"/>
                <w:szCs w:val="18"/>
              </w:rPr>
              <w:t>including:</w:t>
            </w:r>
          </w:p>
          <w:p w14:paraId="32B9E1F7" w14:textId="7E1FE4E4" w:rsidR="007D566F" w:rsidRPr="001B2C3D" w:rsidRDefault="007D566F" w:rsidP="007D566F">
            <w:pPr>
              <w:pStyle w:val="ListParagraph"/>
              <w:numPr>
                <w:ilvl w:val="2"/>
                <w:numId w:val="2"/>
              </w:numPr>
              <w:rPr>
                <w:sz w:val="18"/>
                <w:szCs w:val="18"/>
              </w:rPr>
            </w:pPr>
            <w:r w:rsidRPr="001B2C3D">
              <w:rPr>
                <w:sz w:val="18"/>
                <w:szCs w:val="18"/>
              </w:rPr>
              <w:t>An evaluation and analysis, in plain language, of the school’s students’ progress and achievement as assessed across any foundation curriculum policy statements and national curriculum statements, and based on good quality assessment</w:t>
            </w:r>
            <w:r w:rsidR="009D4809">
              <w:rPr>
                <w:sz w:val="18"/>
                <w:szCs w:val="18"/>
              </w:rPr>
              <w:t xml:space="preserve"> information</w:t>
            </w:r>
            <w:r w:rsidRPr="001B2C3D">
              <w:rPr>
                <w:sz w:val="18"/>
                <w:szCs w:val="18"/>
              </w:rPr>
              <w:t xml:space="preserve"> </w:t>
            </w:r>
          </w:p>
          <w:p w14:paraId="0507B38E" w14:textId="74C0883A" w:rsidR="00501C62" w:rsidRPr="001B2C3D" w:rsidRDefault="007D566F" w:rsidP="007D566F">
            <w:pPr>
              <w:pStyle w:val="ListParagraph"/>
              <w:numPr>
                <w:ilvl w:val="2"/>
                <w:numId w:val="2"/>
              </w:numPr>
              <w:rPr>
                <w:sz w:val="18"/>
                <w:szCs w:val="18"/>
              </w:rPr>
            </w:pPr>
            <w:r w:rsidRPr="001B2C3D">
              <w:rPr>
                <w:sz w:val="18"/>
                <w:szCs w:val="18"/>
              </w:rPr>
              <w:t xml:space="preserve">A report on how the board has given effect to Te Tiriti o Waitangi, including the progress and achievement of Māori students and the progress made towards making instruction available in tikanga and </w:t>
            </w:r>
            <w:proofErr w:type="spellStart"/>
            <w:r w:rsidRPr="001B2C3D">
              <w:rPr>
                <w:sz w:val="18"/>
                <w:szCs w:val="18"/>
              </w:rPr>
              <w:t>te</w:t>
            </w:r>
            <w:proofErr w:type="spellEnd"/>
            <w:r w:rsidRPr="001B2C3D">
              <w:rPr>
                <w:sz w:val="18"/>
                <w:szCs w:val="18"/>
              </w:rPr>
              <w:t xml:space="preserve"> </w:t>
            </w:r>
            <w:proofErr w:type="spellStart"/>
            <w:r w:rsidRPr="001B2C3D">
              <w:rPr>
                <w:sz w:val="18"/>
                <w:szCs w:val="18"/>
              </w:rPr>
              <w:t>reo</w:t>
            </w:r>
            <w:proofErr w:type="spellEnd"/>
            <w:r w:rsidRPr="001B2C3D">
              <w:rPr>
                <w:sz w:val="18"/>
                <w:szCs w:val="18"/>
              </w:rPr>
              <w:t xml:space="preserve"> Māori</w:t>
            </w:r>
          </w:p>
          <w:p w14:paraId="403F9804" w14:textId="77777777" w:rsidR="00B74617" w:rsidRPr="001B2C3D" w:rsidRDefault="00EF4E2F" w:rsidP="00B74617">
            <w:pPr>
              <w:ind w:left="720"/>
              <w:rPr>
                <w:sz w:val="18"/>
                <w:szCs w:val="18"/>
              </w:rPr>
            </w:pPr>
            <w:r w:rsidRPr="001B2C3D">
              <w:rPr>
                <w:sz w:val="18"/>
                <w:szCs w:val="18"/>
              </w:rPr>
              <w:t>noting</w:t>
            </w:r>
            <w:r w:rsidR="00B74617" w:rsidRPr="001B2C3D">
              <w:rPr>
                <w:sz w:val="18"/>
                <w:szCs w:val="18"/>
              </w:rPr>
              <w:t>:</w:t>
            </w:r>
          </w:p>
          <w:p w14:paraId="2817CBFD" w14:textId="29593760" w:rsidR="00140914" w:rsidRPr="001B2C3D" w:rsidRDefault="00EF4E2F" w:rsidP="00B74617">
            <w:pPr>
              <w:pStyle w:val="ListParagraph"/>
              <w:numPr>
                <w:ilvl w:val="1"/>
                <w:numId w:val="2"/>
              </w:numPr>
              <w:rPr>
                <w:sz w:val="18"/>
                <w:szCs w:val="18"/>
              </w:rPr>
            </w:pPr>
            <w:r w:rsidRPr="001B2C3D">
              <w:rPr>
                <w:sz w:val="18"/>
                <w:szCs w:val="18"/>
              </w:rPr>
              <w:t>a board’s first strategic plan for</w:t>
            </w:r>
            <w:r w:rsidR="00782AEC" w:rsidRPr="001B2C3D">
              <w:rPr>
                <w:sz w:val="18"/>
                <w:szCs w:val="18"/>
              </w:rPr>
              <w:t xml:space="preserve"> its school </w:t>
            </w:r>
            <w:r w:rsidR="00266F45" w:rsidRPr="001B2C3D">
              <w:rPr>
                <w:sz w:val="18"/>
                <w:szCs w:val="18"/>
              </w:rPr>
              <w:t xml:space="preserve">only has a </w:t>
            </w:r>
            <w:proofErr w:type="gramStart"/>
            <w:r w:rsidR="00266F45" w:rsidRPr="001B2C3D">
              <w:rPr>
                <w:sz w:val="18"/>
                <w:szCs w:val="18"/>
              </w:rPr>
              <w:t>life-span</w:t>
            </w:r>
            <w:proofErr w:type="gramEnd"/>
            <w:r w:rsidR="00266F45" w:rsidRPr="001B2C3D">
              <w:rPr>
                <w:sz w:val="18"/>
                <w:szCs w:val="18"/>
              </w:rPr>
              <w:t xml:space="preserve"> of 2 years. The first strategic plan </w:t>
            </w:r>
            <w:r w:rsidR="00501C62" w:rsidRPr="001B2C3D">
              <w:rPr>
                <w:sz w:val="18"/>
                <w:szCs w:val="18"/>
              </w:rPr>
              <w:t xml:space="preserve">under the Education (school planning and reporting) Regulations 2023, </w:t>
            </w:r>
            <w:r w:rsidR="00782AEC" w:rsidRPr="001B2C3D">
              <w:rPr>
                <w:sz w:val="18"/>
                <w:szCs w:val="18"/>
              </w:rPr>
              <w:t xml:space="preserve">must be prepared to </w:t>
            </w:r>
            <w:r w:rsidR="00266F45" w:rsidRPr="001B2C3D">
              <w:rPr>
                <w:sz w:val="18"/>
                <w:szCs w:val="18"/>
              </w:rPr>
              <w:t>take effect</w:t>
            </w:r>
            <w:r w:rsidR="00782AEC" w:rsidRPr="001B2C3D">
              <w:rPr>
                <w:sz w:val="18"/>
                <w:szCs w:val="18"/>
              </w:rPr>
              <w:t xml:space="preserve"> from 1 January 2024</w:t>
            </w:r>
            <w:r w:rsidR="00266F45" w:rsidRPr="001B2C3D">
              <w:rPr>
                <w:sz w:val="18"/>
                <w:szCs w:val="18"/>
              </w:rPr>
              <w:t>, and the second one must be prepared to take effect from 1 January 2026</w:t>
            </w:r>
          </w:p>
          <w:p w14:paraId="77A0E68A" w14:textId="62B8DE7E" w:rsidR="005D30A9" w:rsidRPr="001B2C3D" w:rsidRDefault="005D30A9" w:rsidP="00B74617">
            <w:pPr>
              <w:pStyle w:val="ListParagraph"/>
              <w:numPr>
                <w:ilvl w:val="1"/>
                <w:numId w:val="2"/>
              </w:numPr>
              <w:rPr>
                <w:sz w:val="18"/>
                <w:szCs w:val="18"/>
              </w:rPr>
            </w:pPr>
            <w:r w:rsidRPr="001B2C3D">
              <w:rPr>
                <w:sz w:val="18"/>
                <w:szCs w:val="18"/>
              </w:rPr>
              <w:t xml:space="preserve">detailed content requirements for the strategic and annual implementation plans </w:t>
            </w:r>
            <w:r w:rsidR="00DE48A4" w:rsidRPr="001B2C3D">
              <w:rPr>
                <w:sz w:val="18"/>
                <w:szCs w:val="18"/>
              </w:rPr>
              <w:t xml:space="preserve">and annual reports </w:t>
            </w:r>
            <w:r w:rsidR="00FD4DD5" w:rsidRPr="001B2C3D">
              <w:rPr>
                <w:sz w:val="18"/>
                <w:szCs w:val="18"/>
              </w:rPr>
              <w:t xml:space="preserve">are </w:t>
            </w:r>
            <w:r w:rsidR="00D57AFC" w:rsidRPr="001B2C3D">
              <w:rPr>
                <w:sz w:val="18"/>
                <w:szCs w:val="18"/>
              </w:rPr>
              <w:t xml:space="preserve">further </w:t>
            </w:r>
            <w:r w:rsidR="00FD4DD5" w:rsidRPr="001B2C3D">
              <w:rPr>
                <w:sz w:val="18"/>
                <w:szCs w:val="18"/>
              </w:rPr>
              <w:t>outlined in the Regulations</w:t>
            </w:r>
          </w:p>
          <w:p w14:paraId="306E5FBD" w14:textId="5A080135" w:rsidR="00AB1F8A" w:rsidRPr="001B2C3D" w:rsidRDefault="00AB1F8A" w:rsidP="002B3E6A">
            <w:pPr>
              <w:pStyle w:val="ListParagraph"/>
              <w:numPr>
                <w:ilvl w:val="0"/>
                <w:numId w:val="2"/>
              </w:numPr>
              <w:rPr>
                <w:sz w:val="18"/>
                <w:szCs w:val="18"/>
              </w:rPr>
            </w:pPr>
            <w:r w:rsidRPr="001B2C3D">
              <w:rPr>
                <w:sz w:val="18"/>
                <w:szCs w:val="18"/>
              </w:rPr>
              <w:t xml:space="preserve">Ensure the strategic plan is </w:t>
            </w:r>
            <w:r w:rsidR="00B95BA6" w:rsidRPr="001B2C3D">
              <w:rPr>
                <w:sz w:val="18"/>
                <w:szCs w:val="18"/>
              </w:rPr>
              <w:t>submitted to the Secretary of Education and publish</w:t>
            </w:r>
            <w:r w:rsidR="00597627" w:rsidRPr="001B2C3D">
              <w:rPr>
                <w:sz w:val="18"/>
                <w:szCs w:val="18"/>
              </w:rPr>
              <w:t>ed</w:t>
            </w:r>
            <w:r w:rsidR="00B95BA6" w:rsidRPr="001B2C3D">
              <w:rPr>
                <w:sz w:val="18"/>
                <w:szCs w:val="18"/>
              </w:rPr>
              <w:t xml:space="preserve"> before 1 March in the year in which the plan takes effect</w:t>
            </w:r>
          </w:p>
          <w:p w14:paraId="66B04B1B" w14:textId="0023429F" w:rsidR="005A5A29" w:rsidRPr="001B2C3D" w:rsidRDefault="005A5A29" w:rsidP="002B3E6A">
            <w:pPr>
              <w:pStyle w:val="ListParagraph"/>
              <w:numPr>
                <w:ilvl w:val="0"/>
                <w:numId w:val="2"/>
              </w:numPr>
              <w:rPr>
                <w:sz w:val="18"/>
                <w:szCs w:val="18"/>
              </w:rPr>
            </w:pPr>
            <w:r w:rsidRPr="001B2C3D">
              <w:rPr>
                <w:sz w:val="18"/>
                <w:szCs w:val="18"/>
              </w:rPr>
              <w:t>Ensure the annual implementation plan is prepare</w:t>
            </w:r>
            <w:r w:rsidR="00597627" w:rsidRPr="001B2C3D">
              <w:rPr>
                <w:sz w:val="18"/>
                <w:szCs w:val="18"/>
              </w:rPr>
              <w:t>d</w:t>
            </w:r>
            <w:r w:rsidRPr="001B2C3D">
              <w:rPr>
                <w:sz w:val="18"/>
                <w:szCs w:val="18"/>
              </w:rPr>
              <w:t xml:space="preserve"> and published before 31 March each year</w:t>
            </w:r>
          </w:p>
          <w:p w14:paraId="651FA146" w14:textId="1D967760" w:rsidR="009B1E08" w:rsidRPr="001B2C3D" w:rsidRDefault="009B1E08" w:rsidP="002B3E6A">
            <w:pPr>
              <w:pStyle w:val="ListParagraph"/>
              <w:numPr>
                <w:ilvl w:val="0"/>
                <w:numId w:val="2"/>
              </w:numPr>
              <w:rPr>
                <w:sz w:val="18"/>
                <w:szCs w:val="18"/>
              </w:rPr>
            </w:pPr>
            <w:r w:rsidRPr="001B2C3D">
              <w:rPr>
                <w:sz w:val="18"/>
                <w:szCs w:val="18"/>
              </w:rPr>
              <w:t>Ensure the school’s principal and staff monitors and evaluate the performance of the school’s students in relation to, at least, the curriculum and any qualifications system offered at the school</w:t>
            </w:r>
          </w:p>
          <w:p w14:paraId="097AF996" w14:textId="01D3AAE4" w:rsidR="009B1E08" w:rsidRPr="001B2C3D" w:rsidRDefault="009B1E08" w:rsidP="002B3E6A">
            <w:pPr>
              <w:pStyle w:val="ListParagraph"/>
              <w:numPr>
                <w:ilvl w:val="0"/>
                <w:numId w:val="2"/>
              </w:numPr>
              <w:rPr>
                <w:sz w:val="18"/>
                <w:szCs w:val="18"/>
              </w:rPr>
            </w:pPr>
            <w:r w:rsidRPr="001B2C3D">
              <w:rPr>
                <w:sz w:val="18"/>
                <w:szCs w:val="18"/>
              </w:rPr>
              <w:t>Ensure information about a student’s performance is given to the student and a parent in a timely manner (at least twice a year) and in a form that is readily understandable (written in plain language). Information about the student’s performance must be across the curriculum, and in literacy and mathematics, and based on good quality assessment information</w:t>
            </w:r>
            <w:r w:rsidR="004367CD" w:rsidRPr="001B2C3D">
              <w:rPr>
                <w:sz w:val="18"/>
                <w:szCs w:val="18"/>
              </w:rPr>
              <w:t>; and</w:t>
            </w:r>
          </w:p>
          <w:p w14:paraId="3510B550" w14:textId="77777777" w:rsidR="001B2C3D" w:rsidRPr="001B2C3D" w:rsidRDefault="001B2C3D" w:rsidP="00E6189A">
            <w:pPr>
              <w:ind w:left="720"/>
              <w:rPr>
                <w:sz w:val="18"/>
                <w:szCs w:val="18"/>
              </w:rPr>
            </w:pPr>
          </w:p>
          <w:p w14:paraId="2CE681D5" w14:textId="293D707A" w:rsidR="00E6189A" w:rsidRPr="001B2C3D" w:rsidRDefault="00E6189A" w:rsidP="00E6189A">
            <w:pPr>
              <w:ind w:left="720"/>
              <w:rPr>
                <w:sz w:val="18"/>
                <w:szCs w:val="18"/>
                <w:u w:val="single"/>
              </w:rPr>
            </w:pPr>
            <w:r w:rsidRPr="001B2C3D">
              <w:rPr>
                <w:sz w:val="18"/>
                <w:szCs w:val="18"/>
              </w:rPr>
              <w:t xml:space="preserve">Further guidance is available at </w:t>
            </w:r>
            <w:hyperlink r:id="rId12" w:history="1">
              <w:r w:rsidR="00AC2A37">
                <w:rPr>
                  <w:rStyle w:val="Hyperlink"/>
                  <w:sz w:val="18"/>
                  <w:szCs w:val="18"/>
                </w:rPr>
                <w:t>Schools' planning and reporting</w:t>
              </w:r>
            </w:hyperlink>
          </w:p>
          <w:p w14:paraId="001CC6F6" w14:textId="77777777" w:rsidR="00AC2A37" w:rsidRPr="001B2C3D" w:rsidRDefault="00AC2A37" w:rsidP="00E6189A">
            <w:pPr>
              <w:ind w:left="720"/>
              <w:rPr>
                <w:sz w:val="18"/>
                <w:szCs w:val="18"/>
              </w:rPr>
            </w:pPr>
          </w:p>
          <w:p w14:paraId="67B35F41" w14:textId="1D2E9E8F" w:rsidR="009B1E08" w:rsidRPr="001B2C3D" w:rsidRDefault="009B1E08" w:rsidP="0096498C">
            <w:pPr>
              <w:rPr>
                <w:sz w:val="18"/>
                <w:szCs w:val="18"/>
              </w:rPr>
            </w:pPr>
          </w:p>
          <w:p w14:paraId="44787465" w14:textId="675F3F3F" w:rsidR="009B1E08" w:rsidRPr="00A520AD" w:rsidRDefault="009B1E08" w:rsidP="00BB444B">
            <w:pPr>
              <w:rPr>
                <w:sz w:val="18"/>
                <w:szCs w:val="18"/>
              </w:rPr>
            </w:pPr>
            <w:r w:rsidRPr="001B2C3D">
              <w:rPr>
                <w:sz w:val="18"/>
                <w:szCs w:val="18"/>
              </w:rPr>
              <w:lastRenderedPageBreak/>
              <w:t xml:space="preserve">Developing and delivering a high-quality </w:t>
            </w:r>
            <w:r w:rsidR="008A540F" w:rsidRPr="001B2C3D">
              <w:rPr>
                <w:sz w:val="18"/>
                <w:szCs w:val="18"/>
              </w:rPr>
              <w:t xml:space="preserve">school </w:t>
            </w:r>
            <w:r w:rsidRPr="001B2C3D">
              <w:rPr>
                <w:sz w:val="18"/>
                <w:szCs w:val="18"/>
              </w:rPr>
              <w:t>curriculum is at the heart of</w:t>
            </w:r>
            <w:r w:rsidRPr="00A520AD">
              <w:rPr>
                <w:sz w:val="18"/>
                <w:szCs w:val="18"/>
              </w:rPr>
              <w:t xml:space="preserve"> board planning for their school. In their first strategic plans, </w:t>
            </w:r>
            <w:r w:rsidRPr="00C572E2">
              <w:rPr>
                <w:color w:val="000000" w:themeColor="text1"/>
                <w:sz w:val="18"/>
                <w:szCs w:val="18"/>
              </w:rPr>
              <w:t xml:space="preserve">boards </w:t>
            </w:r>
            <w:r w:rsidR="005C4D4D" w:rsidRPr="00C572E2">
              <w:rPr>
                <w:color w:val="000000" w:themeColor="text1"/>
                <w:sz w:val="18"/>
                <w:szCs w:val="18"/>
              </w:rPr>
              <w:t xml:space="preserve">should </w:t>
            </w:r>
            <w:r w:rsidRPr="00C572E2">
              <w:rPr>
                <w:color w:val="000000" w:themeColor="text1"/>
                <w:sz w:val="18"/>
                <w:szCs w:val="18"/>
              </w:rPr>
              <w:t xml:space="preserve">be planning </w:t>
            </w:r>
            <w:r w:rsidRPr="00A520AD">
              <w:rPr>
                <w:sz w:val="18"/>
                <w:szCs w:val="18"/>
              </w:rPr>
              <w:t>for successful implementation of the refreshed national curriculum.</w:t>
            </w:r>
          </w:p>
          <w:p w14:paraId="5C16288C" w14:textId="77777777" w:rsidR="009B1E08" w:rsidRPr="00A520AD" w:rsidRDefault="009B1E08" w:rsidP="00BB444B">
            <w:pPr>
              <w:rPr>
                <w:sz w:val="18"/>
                <w:szCs w:val="18"/>
              </w:rPr>
            </w:pPr>
          </w:p>
          <w:p w14:paraId="526788BD" w14:textId="1B4523C1" w:rsidR="009B1E08" w:rsidRPr="00A520AD" w:rsidRDefault="009B1E08" w:rsidP="00F63B54">
            <w:pPr>
              <w:rPr>
                <w:sz w:val="18"/>
                <w:szCs w:val="18"/>
                <w:u w:val="single"/>
              </w:rPr>
            </w:pPr>
            <w:r w:rsidRPr="00A520AD">
              <w:rPr>
                <w:sz w:val="18"/>
                <w:szCs w:val="18"/>
                <w:u w:val="single"/>
              </w:rPr>
              <w:t>Further Guidance</w:t>
            </w:r>
            <w:r w:rsidR="00646656">
              <w:rPr>
                <w:sz w:val="18"/>
                <w:szCs w:val="18"/>
                <w:u w:val="single"/>
              </w:rPr>
              <w:t xml:space="preserve"> about the curr</w:t>
            </w:r>
            <w:r w:rsidR="00ED6B92">
              <w:rPr>
                <w:sz w:val="18"/>
                <w:szCs w:val="18"/>
                <w:u w:val="single"/>
              </w:rPr>
              <w:t>iculum</w:t>
            </w:r>
          </w:p>
          <w:p w14:paraId="0A0C995D" w14:textId="77777777" w:rsidR="009B1E08" w:rsidRPr="00A520AD" w:rsidRDefault="009B1E08" w:rsidP="00F63B54">
            <w:pPr>
              <w:rPr>
                <w:sz w:val="18"/>
                <w:szCs w:val="18"/>
              </w:rPr>
            </w:pPr>
          </w:p>
          <w:p w14:paraId="2A61B5D0" w14:textId="53DA5BF8" w:rsidR="009B1E08" w:rsidRPr="00A520AD" w:rsidRDefault="009B1E08" w:rsidP="000F79FB">
            <w:pPr>
              <w:rPr>
                <w:sz w:val="18"/>
                <w:szCs w:val="18"/>
              </w:rPr>
            </w:pPr>
            <w:r w:rsidRPr="00A520AD">
              <w:rPr>
                <w:sz w:val="18"/>
                <w:szCs w:val="18"/>
              </w:rPr>
              <w:t>When designing and reviewing their curriculum, schools select achievement objectives from each learning area in response to the identified interests and learning needs of their students. For learning in digital technologies, schools need to provide teaching and learning opportunities in line with the progress outcomes from the technology learning area. For learning in Aotearoa New Zealand’s Histories (part of Social Sciences), schools need to provide teaching and learning opportunities that weave together what students need to Understand Know and Do and support progression in line with progress outcomes.</w:t>
            </w:r>
          </w:p>
          <w:p w14:paraId="75AA22A4" w14:textId="4DDD4081" w:rsidR="009B1E08" w:rsidRPr="00A520AD" w:rsidRDefault="009B1E08" w:rsidP="00F63B54">
            <w:pPr>
              <w:rPr>
                <w:sz w:val="18"/>
                <w:szCs w:val="18"/>
              </w:rPr>
            </w:pPr>
          </w:p>
          <w:p w14:paraId="7A3CC624" w14:textId="385A27A5" w:rsidR="009B1E08" w:rsidRPr="00A520AD" w:rsidRDefault="009B1E08" w:rsidP="4D4AFF80">
            <w:pPr>
              <w:rPr>
                <w:sz w:val="18"/>
                <w:szCs w:val="18"/>
              </w:rPr>
            </w:pPr>
            <w:r w:rsidRPr="00A520AD">
              <w:rPr>
                <w:sz w:val="18"/>
                <w:szCs w:val="18"/>
              </w:rPr>
              <w:t xml:space="preserve">All schools with students in years 7-10 should be working towards offering students opportunities for learning a second or subsequent language. Teaching programmes should be based on the learning languages statement found on pages 24-25 and the achievement objectives for this learning area. Teaching programmes for students in years 11-13 should be based, in the first instance, on the appropriate national curriculum statements. </w:t>
            </w:r>
          </w:p>
          <w:p w14:paraId="75AE795C" w14:textId="7C4E6A31" w:rsidR="009B1E08" w:rsidRPr="00A520AD" w:rsidRDefault="009B1E08" w:rsidP="13EF2B8F">
            <w:pPr>
              <w:rPr>
                <w:sz w:val="18"/>
                <w:szCs w:val="18"/>
              </w:rPr>
            </w:pPr>
          </w:p>
          <w:p w14:paraId="674CDFC5" w14:textId="3F25E8AF" w:rsidR="009B1E08" w:rsidRPr="00A520AD" w:rsidRDefault="009B1E08" w:rsidP="13EF2B8F">
            <w:pPr>
              <w:rPr>
                <w:sz w:val="18"/>
                <w:szCs w:val="18"/>
                <w:u w:val="single"/>
              </w:rPr>
            </w:pPr>
            <w:r w:rsidRPr="00A520AD">
              <w:rPr>
                <w:sz w:val="18"/>
                <w:szCs w:val="18"/>
                <w:u w:val="single"/>
              </w:rPr>
              <w:t>Transition to refreshed national curriculum</w:t>
            </w:r>
          </w:p>
          <w:p w14:paraId="1C7F243D" w14:textId="77777777" w:rsidR="009B1E08" w:rsidRPr="00A520AD" w:rsidRDefault="009B1E08" w:rsidP="13EF2B8F">
            <w:pPr>
              <w:rPr>
                <w:sz w:val="18"/>
                <w:szCs w:val="18"/>
                <w:u w:val="single"/>
              </w:rPr>
            </w:pPr>
          </w:p>
          <w:p w14:paraId="209487F1" w14:textId="4069B44B" w:rsidR="009B1E08" w:rsidRPr="00A520AD" w:rsidRDefault="009B1E08" w:rsidP="00F63B54">
            <w:pPr>
              <w:rPr>
                <w:sz w:val="18"/>
                <w:szCs w:val="18"/>
              </w:rPr>
            </w:pPr>
            <w:r w:rsidRPr="00A520AD">
              <w:rPr>
                <w:sz w:val="18"/>
                <w:szCs w:val="18"/>
              </w:rPr>
              <w:t xml:space="preserve">As described at </w:t>
            </w:r>
            <w:hyperlink r:id="rId13" w:history="1">
              <w:r w:rsidRPr="00B87496">
                <w:rPr>
                  <w:rStyle w:val="Hyperlink"/>
                  <w:sz w:val="18"/>
                  <w:szCs w:val="18"/>
                </w:rPr>
                <w:t>Changes to The New Zealand Curriculum | Curriculum Refresh (education.govt.nz)</w:t>
              </w:r>
            </w:hyperlink>
            <w:r w:rsidRPr="1AC0559D">
              <w:rPr>
                <w:sz w:val="18"/>
                <w:szCs w:val="18"/>
              </w:rPr>
              <w:t>,</w:t>
            </w:r>
            <w:r w:rsidRPr="262ED6D6">
              <w:rPr>
                <w:sz w:val="18"/>
                <w:szCs w:val="18"/>
              </w:rPr>
              <w:t xml:space="preserve"> </w:t>
            </w:r>
            <w:r w:rsidRPr="00A520AD">
              <w:rPr>
                <w:sz w:val="18"/>
                <w:szCs w:val="18"/>
              </w:rPr>
              <w:t>the New Zealand Curriculum is being progressively refreshed</w:t>
            </w:r>
            <w:r w:rsidR="00A61241">
              <w:rPr>
                <w:sz w:val="18"/>
                <w:szCs w:val="18"/>
              </w:rPr>
              <w:t xml:space="preserve">. </w:t>
            </w:r>
            <w:r w:rsidRPr="00A520AD">
              <w:rPr>
                <w:sz w:val="18"/>
                <w:szCs w:val="18"/>
              </w:rPr>
              <w:t xml:space="preserve">The social sciences learning </w:t>
            </w:r>
            <w:r w:rsidRPr="001B2C3D">
              <w:rPr>
                <w:sz w:val="18"/>
                <w:szCs w:val="18"/>
              </w:rPr>
              <w:t xml:space="preserve">area </w:t>
            </w:r>
            <w:r w:rsidR="00292C65" w:rsidRPr="001B2C3D">
              <w:rPr>
                <w:sz w:val="18"/>
                <w:szCs w:val="18"/>
              </w:rPr>
              <w:t xml:space="preserve">was </w:t>
            </w:r>
            <w:r w:rsidR="001B2C3D" w:rsidRPr="001B2C3D">
              <w:rPr>
                <w:sz w:val="18"/>
                <w:szCs w:val="18"/>
              </w:rPr>
              <w:t>t</w:t>
            </w:r>
            <w:r w:rsidRPr="001B2C3D">
              <w:rPr>
                <w:sz w:val="18"/>
                <w:szCs w:val="18"/>
              </w:rPr>
              <w:t xml:space="preserve">he </w:t>
            </w:r>
            <w:r w:rsidRPr="00A520AD">
              <w:rPr>
                <w:sz w:val="18"/>
                <w:szCs w:val="18"/>
              </w:rPr>
              <w:t>first learning area to be refreshed as part of the wider refresh and inc</w:t>
            </w:r>
            <w:r w:rsidR="00976F9E">
              <w:rPr>
                <w:sz w:val="18"/>
                <w:szCs w:val="18"/>
              </w:rPr>
              <w:t>l</w:t>
            </w:r>
            <w:r w:rsidRPr="00A520AD">
              <w:rPr>
                <w:sz w:val="18"/>
                <w:szCs w:val="18"/>
              </w:rPr>
              <w:t>udes the new Aotearoa New Zealand’s histories (ANZH) content. While the new ANZH content must be taught in schools from 1 January 2023 there is no requirement for schools to implement the remainder of the refreshed Social Science curriculum until the beginning of 202</w:t>
            </w:r>
            <w:r w:rsidR="007C2C78">
              <w:rPr>
                <w:sz w:val="18"/>
                <w:szCs w:val="18"/>
              </w:rPr>
              <w:t>7</w:t>
            </w:r>
            <w:r w:rsidRPr="00A520AD">
              <w:rPr>
                <w:sz w:val="18"/>
                <w:szCs w:val="18"/>
              </w:rPr>
              <w:t>.</w:t>
            </w:r>
          </w:p>
          <w:p w14:paraId="25F097D9" w14:textId="77777777" w:rsidR="009B1E08" w:rsidRPr="00A520AD" w:rsidRDefault="009B1E08" w:rsidP="00F63B54">
            <w:pPr>
              <w:rPr>
                <w:sz w:val="18"/>
                <w:szCs w:val="18"/>
              </w:rPr>
            </w:pPr>
          </w:p>
          <w:p w14:paraId="20D4CF7B" w14:textId="5D85E86B" w:rsidR="009B1E08" w:rsidRPr="001B2C3D" w:rsidRDefault="009B1E08" w:rsidP="008C1999">
            <w:pPr>
              <w:rPr>
                <w:b/>
                <w:bCs/>
                <w:sz w:val="18"/>
                <w:szCs w:val="18"/>
              </w:rPr>
            </w:pPr>
            <w:r w:rsidRPr="00A520AD">
              <w:rPr>
                <w:sz w:val="18"/>
                <w:szCs w:val="18"/>
              </w:rPr>
              <w:t xml:space="preserve">As the New Zealand Curriculum is refreshed, all eight Learning Areas will be progressively released along with resources to support understanding and implementation. </w:t>
            </w:r>
            <w:r w:rsidR="006F4FBE" w:rsidRPr="001B2C3D">
              <w:rPr>
                <w:sz w:val="18"/>
                <w:szCs w:val="18"/>
              </w:rPr>
              <w:t xml:space="preserve">The English and </w:t>
            </w:r>
            <w:r w:rsidR="005724F6" w:rsidRPr="001B2C3D">
              <w:rPr>
                <w:sz w:val="18"/>
                <w:szCs w:val="18"/>
              </w:rPr>
              <w:t>m</w:t>
            </w:r>
            <w:r w:rsidR="006F4FBE" w:rsidRPr="001B2C3D">
              <w:rPr>
                <w:sz w:val="18"/>
                <w:szCs w:val="18"/>
              </w:rPr>
              <w:t>athematics and stat</w:t>
            </w:r>
            <w:r w:rsidR="005724F6" w:rsidRPr="001B2C3D">
              <w:rPr>
                <w:sz w:val="18"/>
                <w:szCs w:val="18"/>
              </w:rPr>
              <w:t xml:space="preserve">istics learning areas </w:t>
            </w:r>
            <w:r w:rsidR="002B0720" w:rsidRPr="001B2C3D">
              <w:rPr>
                <w:sz w:val="18"/>
                <w:szCs w:val="18"/>
              </w:rPr>
              <w:t xml:space="preserve">were </w:t>
            </w:r>
            <w:r w:rsidR="005724F6" w:rsidRPr="001B2C3D">
              <w:rPr>
                <w:sz w:val="18"/>
                <w:szCs w:val="18"/>
              </w:rPr>
              <w:t>rel</w:t>
            </w:r>
            <w:r w:rsidR="008960D7" w:rsidRPr="001B2C3D">
              <w:rPr>
                <w:sz w:val="18"/>
                <w:szCs w:val="18"/>
              </w:rPr>
              <w:t>eased</w:t>
            </w:r>
            <w:r w:rsidR="002B0720" w:rsidRPr="001B2C3D">
              <w:rPr>
                <w:sz w:val="18"/>
                <w:szCs w:val="18"/>
              </w:rPr>
              <w:t xml:space="preserve"> in </w:t>
            </w:r>
            <w:proofErr w:type="spellStart"/>
            <w:r w:rsidR="002B0720" w:rsidRPr="001B2C3D">
              <w:rPr>
                <w:sz w:val="18"/>
                <w:szCs w:val="18"/>
              </w:rPr>
              <w:t xml:space="preserve">mid </w:t>
            </w:r>
            <w:proofErr w:type="gramStart"/>
            <w:r w:rsidR="002B0720" w:rsidRPr="001B2C3D">
              <w:rPr>
                <w:sz w:val="18"/>
                <w:szCs w:val="18"/>
              </w:rPr>
              <w:t>2023</w:t>
            </w:r>
            <w:proofErr w:type="spellEnd"/>
            <w:r w:rsidR="005442DA" w:rsidRPr="001B2C3D">
              <w:rPr>
                <w:sz w:val="18"/>
                <w:szCs w:val="18"/>
              </w:rPr>
              <w:t>, and</w:t>
            </w:r>
            <w:proofErr w:type="gramEnd"/>
            <w:r w:rsidR="005442DA" w:rsidRPr="001B2C3D">
              <w:rPr>
                <w:sz w:val="18"/>
                <w:szCs w:val="18"/>
              </w:rPr>
              <w:t xml:space="preserve"> </w:t>
            </w:r>
            <w:r w:rsidR="00B05269" w:rsidRPr="001B2C3D">
              <w:rPr>
                <w:sz w:val="18"/>
                <w:szCs w:val="18"/>
              </w:rPr>
              <w:t xml:space="preserve">will need to be implemented </w:t>
            </w:r>
            <w:r w:rsidR="00156BAC" w:rsidRPr="001B2C3D">
              <w:rPr>
                <w:sz w:val="18"/>
                <w:szCs w:val="18"/>
              </w:rPr>
              <w:t>in</w:t>
            </w:r>
            <w:r w:rsidR="00B032EF" w:rsidRPr="001B2C3D">
              <w:rPr>
                <w:sz w:val="18"/>
                <w:szCs w:val="18"/>
              </w:rPr>
              <w:t xml:space="preserve"> 202</w:t>
            </w:r>
            <w:r w:rsidR="00937BDD" w:rsidRPr="00246F5E">
              <w:rPr>
                <w:sz w:val="18"/>
                <w:szCs w:val="18"/>
              </w:rPr>
              <w:t>5</w:t>
            </w:r>
            <w:r w:rsidR="00156BAC" w:rsidRPr="001B2C3D">
              <w:rPr>
                <w:sz w:val="18"/>
                <w:szCs w:val="18"/>
              </w:rPr>
              <w:t>. T</w:t>
            </w:r>
            <w:r w:rsidR="00B032EF" w:rsidRPr="001B2C3D">
              <w:rPr>
                <w:sz w:val="18"/>
                <w:szCs w:val="18"/>
              </w:rPr>
              <w:t xml:space="preserve">he remaining learning areas </w:t>
            </w:r>
            <w:r w:rsidRPr="001B2C3D">
              <w:rPr>
                <w:sz w:val="18"/>
                <w:szCs w:val="18"/>
              </w:rPr>
              <w:t xml:space="preserve">will </w:t>
            </w:r>
            <w:r w:rsidR="00156BAC" w:rsidRPr="001B2C3D">
              <w:rPr>
                <w:sz w:val="18"/>
                <w:szCs w:val="18"/>
              </w:rPr>
              <w:t xml:space="preserve">need </w:t>
            </w:r>
            <w:r w:rsidRPr="001B2C3D">
              <w:rPr>
                <w:sz w:val="18"/>
                <w:szCs w:val="18"/>
              </w:rPr>
              <w:t>to</w:t>
            </w:r>
            <w:r w:rsidR="00156BAC" w:rsidRPr="001B2C3D">
              <w:rPr>
                <w:sz w:val="18"/>
                <w:szCs w:val="18"/>
              </w:rPr>
              <w:t xml:space="preserve"> be</w:t>
            </w:r>
            <w:r w:rsidRPr="001B2C3D">
              <w:rPr>
                <w:sz w:val="18"/>
                <w:szCs w:val="18"/>
              </w:rPr>
              <w:t xml:space="preserve"> implement</w:t>
            </w:r>
            <w:r w:rsidR="00156BAC" w:rsidRPr="001B2C3D">
              <w:rPr>
                <w:sz w:val="18"/>
                <w:szCs w:val="18"/>
              </w:rPr>
              <w:t xml:space="preserve">ed in </w:t>
            </w:r>
            <w:r w:rsidRPr="001B2C3D">
              <w:rPr>
                <w:sz w:val="18"/>
                <w:szCs w:val="18"/>
              </w:rPr>
              <w:t>202</w:t>
            </w:r>
            <w:r w:rsidR="007C2C78" w:rsidRPr="001B2C3D">
              <w:rPr>
                <w:sz w:val="18"/>
                <w:szCs w:val="18"/>
              </w:rPr>
              <w:t>7</w:t>
            </w:r>
            <w:r w:rsidRPr="001B2C3D">
              <w:rPr>
                <w:sz w:val="18"/>
                <w:szCs w:val="18"/>
              </w:rPr>
              <w:t xml:space="preserve">. </w:t>
            </w:r>
            <w:r w:rsidR="00027EFC" w:rsidRPr="001B2C3D">
              <w:rPr>
                <w:b/>
                <w:bCs/>
                <w:sz w:val="18"/>
                <w:szCs w:val="18"/>
              </w:rPr>
              <w:t>As</w:t>
            </w:r>
            <w:r w:rsidR="00376545" w:rsidRPr="001B2C3D">
              <w:rPr>
                <w:b/>
                <w:bCs/>
                <w:sz w:val="18"/>
                <w:szCs w:val="18"/>
              </w:rPr>
              <w:t xml:space="preserve"> Learning Areas are released, </w:t>
            </w:r>
            <w:r w:rsidRPr="001B2C3D">
              <w:rPr>
                <w:b/>
                <w:bCs/>
                <w:sz w:val="18"/>
                <w:szCs w:val="18"/>
              </w:rPr>
              <w:t xml:space="preserve">boards, principals, </w:t>
            </w:r>
            <w:proofErr w:type="gramStart"/>
            <w:r w:rsidRPr="001B2C3D">
              <w:rPr>
                <w:b/>
                <w:bCs/>
                <w:sz w:val="18"/>
                <w:szCs w:val="18"/>
              </w:rPr>
              <w:t>teachers</w:t>
            </w:r>
            <w:proofErr w:type="gramEnd"/>
            <w:r w:rsidRPr="001B2C3D">
              <w:rPr>
                <w:b/>
                <w:bCs/>
                <w:sz w:val="18"/>
                <w:szCs w:val="18"/>
              </w:rPr>
              <w:t xml:space="preserve"> and schools </w:t>
            </w:r>
            <w:r w:rsidR="002254F1" w:rsidRPr="001B2C3D">
              <w:rPr>
                <w:b/>
                <w:bCs/>
                <w:sz w:val="18"/>
                <w:szCs w:val="18"/>
              </w:rPr>
              <w:t xml:space="preserve">should </w:t>
            </w:r>
            <w:r w:rsidRPr="001B2C3D">
              <w:rPr>
                <w:b/>
                <w:bCs/>
                <w:sz w:val="18"/>
                <w:szCs w:val="18"/>
              </w:rPr>
              <w:t xml:space="preserve">become familiar with the content, </w:t>
            </w:r>
            <w:r w:rsidR="00A81C5C" w:rsidRPr="001B2C3D">
              <w:rPr>
                <w:b/>
                <w:bCs/>
                <w:sz w:val="18"/>
                <w:szCs w:val="18"/>
              </w:rPr>
              <w:t xml:space="preserve">and </w:t>
            </w:r>
            <w:r w:rsidRPr="001B2C3D">
              <w:rPr>
                <w:b/>
                <w:bCs/>
                <w:sz w:val="18"/>
                <w:szCs w:val="18"/>
              </w:rPr>
              <w:t xml:space="preserve">plan </w:t>
            </w:r>
            <w:r w:rsidR="00A81C5C" w:rsidRPr="001B2C3D">
              <w:rPr>
                <w:b/>
                <w:bCs/>
                <w:sz w:val="18"/>
                <w:szCs w:val="18"/>
              </w:rPr>
              <w:t xml:space="preserve">for </w:t>
            </w:r>
            <w:r w:rsidRPr="001B2C3D">
              <w:rPr>
                <w:b/>
                <w:bCs/>
                <w:sz w:val="18"/>
                <w:szCs w:val="18"/>
              </w:rPr>
              <w:t>how they will implement the new curriculum</w:t>
            </w:r>
            <w:r w:rsidR="008D1521" w:rsidRPr="001B2C3D">
              <w:rPr>
                <w:b/>
                <w:bCs/>
                <w:sz w:val="18"/>
                <w:szCs w:val="18"/>
              </w:rPr>
              <w:t>.</w:t>
            </w:r>
            <w:r w:rsidR="00F23E8D" w:rsidRPr="001B2C3D">
              <w:rPr>
                <w:b/>
                <w:bCs/>
                <w:sz w:val="18"/>
                <w:szCs w:val="18"/>
              </w:rPr>
              <w:t xml:space="preserve"> </w:t>
            </w:r>
          </w:p>
          <w:p w14:paraId="6B3DA1B5" w14:textId="77777777" w:rsidR="008D1521" w:rsidRPr="001B2C3D" w:rsidRDefault="008D1521" w:rsidP="008C1999"/>
          <w:p w14:paraId="3EAADFD2" w14:textId="77777777" w:rsidR="008D1521" w:rsidRPr="001B2C3D" w:rsidRDefault="008D1521" w:rsidP="008C1999"/>
          <w:p w14:paraId="14AADBB9" w14:textId="36719697" w:rsidR="008D1521" w:rsidRPr="008D1521" w:rsidRDefault="008D1521" w:rsidP="008C1999">
            <w:pPr>
              <w:rPr>
                <w:color w:val="FF0000"/>
              </w:rPr>
            </w:pPr>
          </w:p>
        </w:tc>
      </w:tr>
      <w:tr w:rsidR="007D566F" w14:paraId="6298C7C7" w14:textId="77777777" w:rsidTr="78DA35D4">
        <w:tc>
          <w:tcPr>
            <w:tcW w:w="10768" w:type="dxa"/>
          </w:tcPr>
          <w:p w14:paraId="0D7BD4A0" w14:textId="77777777" w:rsidR="007D566F" w:rsidRDefault="007D566F" w:rsidP="00F63B54">
            <w:pPr>
              <w:pStyle w:val="ListParagraph"/>
              <w:ind w:left="0"/>
              <w:rPr>
                <w:b/>
                <w:bCs/>
                <w:sz w:val="18"/>
                <w:szCs w:val="18"/>
              </w:rPr>
            </w:pPr>
          </w:p>
        </w:tc>
      </w:tr>
    </w:tbl>
    <w:p w14:paraId="3D64E481" w14:textId="77777777" w:rsidR="008B6743" w:rsidRDefault="008B6743"/>
    <w:sectPr w:rsidR="008B6743" w:rsidSect="006B456B">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86A8F" w14:textId="77777777" w:rsidR="00916941" w:rsidRDefault="00916941" w:rsidP="00F63B54">
      <w:pPr>
        <w:spacing w:after="0" w:line="240" w:lineRule="auto"/>
      </w:pPr>
      <w:r>
        <w:separator/>
      </w:r>
    </w:p>
  </w:endnote>
  <w:endnote w:type="continuationSeparator" w:id="0">
    <w:p w14:paraId="7973618A" w14:textId="77777777" w:rsidR="00916941" w:rsidRDefault="00916941" w:rsidP="00F63B54">
      <w:pPr>
        <w:spacing w:after="0" w:line="240" w:lineRule="auto"/>
      </w:pPr>
      <w:r>
        <w:continuationSeparator/>
      </w:r>
    </w:p>
  </w:endnote>
  <w:endnote w:type="continuationNotice" w:id="1">
    <w:p w14:paraId="5F2D3643" w14:textId="77777777" w:rsidR="00916941" w:rsidRDefault="009169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B25E" w14:textId="77777777" w:rsidR="00916941" w:rsidRDefault="00916941" w:rsidP="00F63B54">
      <w:pPr>
        <w:spacing w:after="0" w:line="240" w:lineRule="auto"/>
      </w:pPr>
      <w:r>
        <w:separator/>
      </w:r>
    </w:p>
  </w:footnote>
  <w:footnote w:type="continuationSeparator" w:id="0">
    <w:p w14:paraId="7DC377F3" w14:textId="77777777" w:rsidR="00916941" w:rsidRDefault="00916941" w:rsidP="00F63B54">
      <w:pPr>
        <w:spacing w:after="0" w:line="240" w:lineRule="auto"/>
      </w:pPr>
      <w:r>
        <w:continuationSeparator/>
      </w:r>
    </w:p>
  </w:footnote>
  <w:footnote w:type="continuationNotice" w:id="1">
    <w:p w14:paraId="28C609FC" w14:textId="77777777" w:rsidR="00916941" w:rsidRDefault="00916941">
      <w:pPr>
        <w:spacing w:after="0" w:line="240" w:lineRule="auto"/>
      </w:pPr>
    </w:p>
  </w:footnote>
  <w:footnote w:id="2">
    <w:p w14:paraId="79136846" w14:textId="2FAB367C" w:rsidR="009B1E08" w:rsidRDefault="009B1E08">
      <w:pPr>
        <w:pStyle w:val="FootnoteText"/>
      </w:pPr>
      <w:r>
        <w:rPr>
          <w:rStyle w:val="FootnoteReference"/>
        </w:rPr>
        <w:footnoteRef/>
      </w:r>
      <w:r>
        <w:t xml:space="preserve"> Education and Training Act 2020, Section 127 (1)</w:t>
      </w:r>
    </w:p>
  </w:footnote>
  <w:footnote w:id="3">
    <w:p w14:paraId="23A9C8CC" w14:textId="640EEAC1" w:rsidR="009B1E08" w:rsidRDefault="009B1E08">
      <w:pPr>
        <w:pStyle w:val="FootnoteText"/>
      </w:pPr>
      <w:r>
        <w:rPr>
          <w:rStyle w:val="FootnoteReference"/>
        </w:rPr>
        <w:footnoteRef/>
      </w:r>
      <w:r>
        <w:t xml:space="preserve"> Education and Training Act 2020, Section 127 (2a)</w:t>
      </w:r>
    </w:p>
  </w:footnote>
  <w:footnote w:id="4">
    <w:p w14:paraId="20EB437C" w14:textId="32619961" w:rsidR="009B1E08" w:rsidRDefault="009B1E08">
      <w:pPr>
        <w:pStyle w:val="FootnoteText"/>
      </w:pPr>
      <w:r>
        <w:rPr>
          <w:rStyle w:val="FootnoteReference"/>
        </w:rPr>
        <w:footnoteRef/>
      </w:r>
      <w:r>
        <w:t xml:space="preserve"> Education and Training Act 2020, Section </w:t>
      </w:r>
      <w:proofErr w:type="gramStart"/>
      <w:r>
        <w:t>164</w:t>
      </w:r>
      <w:proofErr w:type="gramEnd"/>
      <w:r>
        <w:t xml:space="preserve"> and Gazette Notices GN2009-go8817, GN2009-go8814, GN2017-go6474 and GN2022-go4492</w:t>
      </w:r>
    </w:p>
  </w:footnote>
  <w:footnote w:id="5">
    <w:p w14:paraId="3D50EBE7" w14:textId="1F045EA4" w:rsidR="00D45846" w:rsidRPr="00FF7383" w:rsidRDefault="00D45846">
      <w:pPr>
        <w:pStyle w:val="FootnoteText"/>
        <w:rPr>
          <w:i/>
          <w:iCs/>
        </w:rPr>
      </w:pPr>
      <w:r w:rsidRPr="00FF7383">
        <w:rPr>
          <w:rStyle w:val="FootnoteReference"/>
        </w:rPr>
        <w:footnoteRef/>
      </w:r>
      <w:r w:rsidRPr="00FF7383">
        <w:t xml:space="preserve"> </w:t>
      </w:r>
      <w:r w:rsidR="003E671E" w:rsidRPr="00FF7383">
        <w:t xml:space="preserve">Page numbers in the following bullets </w:t>
      </w:r>
      <w:r w:rsidR="00715293" w:rsidRPr="00FF7383">
        <w:t xml:space="preserve">and in the </w:t>
      </w:r>
      <w:r w:rsidR="00715293" w:rsidRPr="00FF7383">
        <w:rPr>
          <w:u w:val="single"/>
        </w:rPr>
        <w:t>Further Guidance</w:t>
      </w:r>
      <w:r w:rsidR="00715293" w:rsidRPr="00FF7383">
        <w:t xml:space="preserve"> section below </w:t>
      </w:r>
      <w:r w:rsidR="003E671E" w:rsidRPr="00FF7383">
        <w:t xml:space="preserve">are referring to page numbers in the current 2007 </w:t>
      </w:r>
      <w:r w:rsidR="006F6100" w:rsidRPr="00FF7383">
        <w:rPr>
          <w:i/>
          <w:iCs/>
        </w:rPr>
        <w:t>New Zealand Curriculum</w:t>
      </w:r>
      <w:r w:rsidR="009513C4" w:rsidRPr="00FF7383">
        <w:rPr>
          <w:i/>
          <w:iCs/>
        </w:rPr>
        <w:t>.</w:t>
      </w:r>
    </w:p>
  </w:footnote>
  <w:footnote w:id="6">
    <w:p w14:paraId="39334ACE" w14:textId="7FEFE90C" w:rsidR="009B1E08" w:rsidRDefault="009B1E08">
      <w:pPr>
        <w:pStyle w:val="FootnoteText"/>
      </w:pPr>
      <w:r w:rsidRPr="00FF7383">
        <w:rPr>
          <w:rStyle w:val="FootnoteReference"/>
        </w:rPr>
        <w:footnoteRef/>
      </w:r>
      <w:r w:rsidRPr="00FF7383">
        <w:t xml:space="preserve"> Education and Training Act 2020, section</w:t>
      </w:r>
      <w:r>
        <w:t xml:space="preserve"> 91</w:t>
      </w:r>
    </w:p>
  </w:footnote>
  <w:footnote w:id="7">
    <w:p w14:paraId="13489744" w14:textId="2C56D439" w:rsidR="004B3CEA" w:rsidRDefault="004B3CEA">
      <w:pPr>
        <w:pStyle w:val="FootnoteText"/>
      </w:pPr>
      <w:r>
        <w:rPr>
          <w:rStyle w:val="FootnoteReference"/>
        </w:rPr>
        <w:footnoteRef/>
      </w:r>
      <w:r>
        <w:t xml:space="preserve"> </w:t>
      </w:r>
      <w:r w:rsidR="00CC7816" w:rsidRPr="00E87BE0">
        <w:t xml:space="preserve">Gazette Notice </w:t>
      </w:r>
      <w:hyperlink r:id="rId1" w:history="1">
        <w:r w:rsidR="00CC7816" w:rsidRPr="00E64242">
          <w:rPr>
            <w:rStyle w:val="Hyperlink"/>
          </w:rPr>
          <w:t>GN2023-</w:t>
        </w:r>
        <w:r w:rsidR="00E87BE0" w:rsidRPr="00E64242">
          <w:rPr>
            <w:rStyle w:val="Hyperlink"/>
          </w:rPr>
          <w:t>go5904</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44DD"/>
    <w:multiLevelType w:val="hybridMultilevel"/>
    <w:tmpl w:val="1688D7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5EF2D62"/>
    <w:multiLevelType w:val="hybridMultilevel"/>
    <w:tmpl w:val="95E052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DF8734A"/>
    <w:multiLevelType w:val="hybridMultilevel"/>
    <w:tmpl w:val="F90E18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94387934">
    <w:abstractNumId w:val="1"/>
  </w:num>
  <w:num w:numId="2" w16cid:durableId="1284728522">
    <w:abstractNumId w:val="2"/>
  </w:num>
  <w:num w:numId="3" w16cid:durableId="93792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54"/>
    <w:rsid w:val="000027F3"/>
    <w:rsid w:val="0000570E"/>
    <w:rsid w:val="000135CD"/>
    <w:rsid w:val="0002554F"/>
    <w:rsid w:val="00027EFC"/>
    <w:rsid w:val="00036057"/>
    <w:rsid w:val="00040714"/>
    <w:rsid w:val="00052301"/>
    <w:rsid w:val="0005785B"/>
    <w:rsid w:val="00060657"/>
    <w:rsid w:val="00061CAD"/>
    <w:rsid w:val="00066352"/>
    <w:rsid w:val="00080C89"/>
    <w:rsid w:val="00094726"/>
    <w:rsid w:val="000B5CF4"/>
    <w:rsid w:val="000B6A50"/>
    <w:rsid w:val="000C2973"/>
    <w:rsid w:val="000D7A77"/>
    <w:rsid w:val="000F52FA"/>
    <w:rsid w:val="000F7033"/>
    <w:rsid w:val="000F79FB"/>
    <w:rsid w:val="00102FC2"/>
    <w:rsid w:val="001106EE"/>
    <w:rsid w:val="00114820"/>
    <w:rsid w:val="00125000"/>
    <w:rsid w:val="00132442"/>
    <w:rsid w:val="00140914"/>
    <w:rsid w:val="0015143D"/>
    <w:rsid w:val="001528D8"/>
    <w:rsid w:val="00156BAC"/>
    <w:rsid w:val="00156C8F"/>
    <w:rsid w:val="00156D47"/>
    <w:rsid w:val="001603EC"/>
    <w:rsid w:val="001636AD"/>
    <w:rsid w:val="001655F4"/>
    <w:rsid w:val="00167224"/>
    <w:rsid w:val="001700C7"/>
    <w:rsid w:val="001825DB"/>
    <w:rsid w:val="0019166F"/>
    <w:rsid w:val="001A434B"/>
    <w:rsid w:val="001A6B23"/>
    <w:rsid w:val="001A6D61"/>
    <w:rsid w:val="001B2C3D"/>
    <w:rsid w:val="001B511D"/>
    <w:rsid w:val="001C0CAD"/>
    <w:rsid w:val="001C2760"/>
    <w:rsid w:val="001C44BB"/>
    <w:rsid w:val="001E1B96"/>
    <w:rsid w:val="001F03E2"/>
    <w:rsid w:val="001F17B9"/>
    <w:rsid w:val="001F1CB4"/>
    <w:rsid w:val="001F445D"/>
    <w:rsid w:val="002005DF"/>
    <w:rsid w:val="00201435"/>
    <w:rsid w:val="00203401"/>
    <w:rsid w:val="00207075"/>
    <w:rsid w:val="0021183D"/>
    <w:rsid w:val="0022212D"/>
    <w:rsid w:val="002227F3"/>
    <w:rsid w:val="002230B2"/>
    <w:rsid w:val="002254F1"/>
    <w:rsid w:val="002257AC"/>
    <w:rsid w:val="002338DA"/>
    <w:rsid w:val="00236BAD"/>
    <w:rsid w:val="00241400"/>
    <w:rsid w:val="00243BA8"/>
    <w:rsid w:val="00246F5E"/>
    <w:rsid w:val="002669EE"/>
    <w:rsid w:val="00266F45"/>
    <w:rsid w:val="00267E27"/>
    <w:rsid w:val="00271B97"/>
    <w:rsid w:val="00272079"/>
    <w:rsid w:val="00292C65"/>
    <w:rsid w:val="00295224"/>
    <w:rsid w:val="002B0720"/>
    <w:rsid w:val="002B20CE"/>
    <w:rsid w:val="002B3E6A"/>
    <w:rsid w:val="002C1AD1"/>
    <w:rsid w:val="002C731D"/>
    <w:rsid w:val="002D2698"/>
    <w:rsid w:val="002E05CA"/>
    <w:rsid w:val="002E12D1"/>
    <w:rsid w:val="002E4FE5"/>
    <w:rsid w:val="00301336"/>
    <w:rsid w:val="003041DF"/>
    <w:rsid w:val="0030745C"/>
    <w:rsid w:val="00311B00"/>
    <w:rsid w:val="00332CD6"/>
    <w:rsid w:val="003402DD"/>
    <w:rsid w:val="0034294D"/>
    <w:rsid w:val="00360364"/>
    <w:rsid w:val="00360FEA"/>
    <w:rsid w:val="003654A0"/>
    <w:rsid w:val="0037603D"/>
    <w:rsid w:val="00376545"/>
    <w:rsid w:val="00387D54"/>
    <w:rsid w:val="003C5A44"/>
    <w:rsid w:val="003C6DB0"/>
    <w:rsid w:val="003C730F"/>
    <w:rsid w:val="003E0C61"/>
    <w:rsid w:val="003E3670"/>
    <w:rsid w:val="003E671E"/>
    <w:rsid w:val="00401F8E"/>
    <w:rsid w:val="004055BC"/>
    <w:rsid w:val="00405B23"/>
    <w:rsid w:val="00422A20"/>
    <w:rsid w:val="00427702"/>
    <w:rsid w:val="00433E29"/>
    <w:rsid w:val="004367CD"/>
    <w:rsid w:val="004433C8"/>
    <w:rsid w:val="00455887"/>
    <w:rsid w:val="00456070"/>
    <w:rsid w:val="00465B62"/>
    <w:rsid w:val="00466F47"/>
    <w:rsid w:val="004849D4"/>
    <w:rsid w:val="004935B2"/>
    <w:rsid w:val="004B34CC"/>
    <w:rsid w:val="004B3CEA"/>
    <w:rsid w:val="004E58D2"/>
    <w:rsid w:val="004F4CB9"/>
    <w:rsid w:val="00501C62"/>
    <w:rsid w:val="0050247B"/>
    <w:rsid w:val="0050411C"/>
    <w:rsid w:val="005075EB"/>
    <w:rsid w:val="00511CAE"/>
    <w:rsid w:val="0054184A"/>
    <w:rsid w:val="00542D48"/>
    <w:rsid w:val="005442DA"/>
    <w:rsid w:val="0054500F"/>
    <w:rsid w:val="005574BE"/>
    <w:rsid w:val="00557876"/>
    <w:rsid w:val="00557CB9"/>
    <w:rsid w:val="005625A9"/>
    <w:rsid w:val="00571583"/>
    <w:rsid w:val="005724F6"/>
    <w:rsid w:val="00584E18"/>
    <w:rsid w:val="0059629A"/>
    <w:rsid w:val="00596CEF"/>
    <w:rsid w:val="00597627"/>
    <w:rsid w:val="005A0F2C"/>
    <w:rsid w:val="005A5A29"/>
    <w:rsid w:val="005A65DD"/>
    <w:rsid w:val="005B07EE"/>
    <w:rsid w:val="005C01C6"/>
    <w:rsid w:val="005C4D4D"/>
    <w:rsid w:val="005D05EC"/>
    <w:rsid w:val="005D30A9"/>
    <w:rsid w:val="005D6E08"/>
    <w:rsid w:val="005E6489"/>
    <w:rsid w:val="005F137E"/>
    <w:rsid w:val="005F2DA7"/>
    <w:rsid w:val="005F4CD9"/>
    <w:rsid w:val="005F5034"/>
    <w:rsid w:val="00601698"/>
    <w:rsid w:val="006060D1"/>
    <w:rsid w:val="00611B15"/>
    <w:rsid w:val="00611B16"/>
    <w:rsid w:val="00613692"/>
    <w:rsid w:val="006164B3"/>
    <w:rsid w:val="0062191D"/>
    <w:rsid w:val="00624CD1"/>
    <w:rsid w:val="00634C2A"/>
    <w:rsid w:val="00646656"/>
    <w:rsid w:val="00650234"/>
    <w:rsid w:val="00662F46"/>
    <w:rsid w:val="00664D2F"/>
    <w:rsid w:val="006700B0"/>
    <w:rsid w:val="00670900"/>
    <w:rsid w:val="0067395A"/>
    <w:rsid w:val="006753E8"/>
    <w:rsid w:val="00676EA0"/>
    <w:rsid w:val="00677EBE"/>
    <w:rsid w:val="00680CC7"/>
    <w:rsid w:val="00693167"/>
    <w:rsid w:val="0069714E"/>
    <w:rsid w:val="006A3287"/>
    <w:rsid w:val="006B39EE"/>
    <w:rsid w:val="006B4475"/>
    <w:rsid w:val="006B456B"/>
    <w:rsid w:val="006B6E57"/>
    <w:rsid w:val="006C283C"/>
    <w:rsid w:val="006D3790"/>
    <w:rsid w:val="006D5AD6"/>
    <w:rsid w:val="006D5FEE"/>
    <w:rsid w:val="006E0E4C"/>
    <w:rsid w:val="006E1633"/>
    <w:rsid w:val="006E2941"/>
    <w:rsid w:val="006E44FB"/>
    <w:rsid w:val="006E5837"/>
    <w:rsid w:val="006E633F"/>
    <w:rsid w:val="006F2577"/>
    <w:rsid w:val="006F36DE"/>
    <w:rsid w:val="006F4FBE"/>
    <w:rsid w:val="006F6100"/>
    <w:rsid w:val="006F7193"/>
    <w:rsid w:val="0070757C"/>
    <w:rsid w:val="00714252"/>
    <w:rsid w:val="00715293"/>
    <w:rsid w:val="00717B0C"/>
    <w:rsid w:val="00725D79"/>
    <w:rsid w:val="00730391"/>
    <w:rsid w:val="0073777C"/>
    <w:rsid w:val="00737F38"/>
    <w:rsid w:val="00760479"/>
    <w:rsid w:val="00765FF4"/>
    <w:rsid w:val="00782AEC"/>
    <w:rsid w:val="00782DAD"/>
    <w:rsid w:val="0078584D"/>
    <w:rsid w:val="00786C27"/>
    <w:rsid w:val="0079719F"/>
    <w:rsid w:val="007977B9"/>
    <w:rsid w:val="007A2168"/>
    <w:rsid w:val="007B4E88"/>
    <w:rsid w:val="007C246B"/>
    <w:rsid w:val="007C2C78"/>
    <w:rsid w:val="007D09C8"/>
    <w:rsid w:val="007D403A"/>
    <w:rsid w:val="007D5495"/>
    <w:rsid w:val="007D566F"/>
    <w:rsid w:val="007E49E0"/>
    <w:rsid w:val="007F25EF"/>
    <w:rsid w:val="0080711C"/>
    <w:rsid w:val="00820A04"/>
    <w:rsid w:val="0082526A"/>
    <w:rsid w:val="00843391"/>
    <w:rsid w:val="00845B85"/>
    <w:rsid w:val="00881D87"/>
    <w:rsid w:val="00884A46"/>
    <w:rsid w:val="008960D7"/>
    <w:rsid w:val="008973AC"/>
    <w:rsid w:val="00897D8F"/>
    <w:rsid w:val="0089A067"/>
    <w:rsid w:val="008A3E36"/>
    <w:rsid w:val="008A45D1"/>
    <w:rsid w:val="008A540F"/>
    <w:rsid w:val="008B6743"/>
    <w:rsid w:val="008B7175"/>
    <w:rsid w:val="008C1999"/>
    <w:rsid w:val="008C2476"/>
    <w:rsid w:val="008C45F9"/>
    <w:rsid w:val="008D1521"/>
    <w:rsid w:val="008D37D2"/>
    <w:rsid w:val="008D4B9E"/>
    <w:rsid w:val="008E1A8D"/>
    <w:rsid w:val="008E1CD2"/>
    <w:rsid w:val="008E7EB1"/>
    <w:rsid w:val="008F2C20"/>
    <w:rsid w:val="009022A5"/>
    <w:rsid w:val="009050B1"/>
    <w:rsid w:val="00906AF6"/>
    <w:rsid w:val="0091014D"/>
    <w:rsid w:val="00911080"/>
    <w:rsid w:val="00912760"/>
    <w:rsid w:val="00913E62"/>
    <w:rsid w:val="00916941"/>
    <w:rsid w:val="00917CBE"/>
    <w:rsid w:val="0092058F"/>
    <w:rsid w:val="00925950"/>
    <w:rsid w:val="00934647"/>
    <w:rsid w:val="00937BDD"/>
    <w:rsid w:val="009468F1"/>
    <w:rsid w:val="0095135D"/>
    <w:rsid w:val="009513C4"/>
    <w:rsid w:val="009544C1"/>
    <w:rsid w:val="00960154"/>
    <w:rsid w:val="009627EA"/>
    <w:rsid w:val="0096498C"/>
    <w:rsid w:val="00973FF7"/>
    <w:rsid w:val="00974F3F"/>
    <w:rsid w:val="00976F9E"/>
    <w:rsid w:val="00982C04"/>
    <w:rsid w:val="00985821"/>
    <w:rsid w:val="00985A1D"/>
    <w:rsid w:val="00990E8B"/>
    <w:rsid w:val="00996B28"/>
    <w:rsid w:val="009A7CB1"/>
    <w:rsid w:val="009B1E08"/>
    <w:rsid w:val="009B207F"/>
    <w:rsid w:val="009B602A"/>
    <w:rsid w:val="009C0D27"/>
    <w:rsid w:val="009D3165"/>
    <w:rsid w:val="009D4809"/>
    <w:rsid w:val="009E6B72"/>
    <w:rsid w:val="00A00796"/>
    <w:rsid w:val="00A00D29"/>
    <w:rsid w:val="00A06598"/>
    <w:rsid w:val="00A13738"/>
    <w:rsid w:val="00A227B5"/>
    <w:rsid w:val="00A22CB4"/>
    <w:rsid w:val="00A247DB"/>
    <w:rsid w:val="00A32B1C"/>
    <w:rsid w:val="00A47263"/>
    <w:rsid w:val="00A478CC"/>
    <w:rsid w:val="00A520AD"/>
    <w:rsid w:val="00A61241"/>
    <w:rsid w:val="00A61671"/>
    <w:rsid w:val="00A65F8D"/>
    <w:rsid w:val="00A67870"/>
    <w:rsid w:val="00A7176E"/>
    <w:rsid w:val="00A81C5C"/>
    <w:rsid w:val="00A84E85"/>
    <w:rsid w:val="00A868B2"/>
    <w:rsid w:val="00A87851"/>
    <w:rsid w:val="00A93FAA"/>
    <w:rsid w:val="00A9535D"/>
    <w:rsid w:val="00A96106"/>
    <w:rsid w:val="00AA5FBE"/>
    <w:rsid w:val="00AB1F8A"/>
    <w:rsid w:val="00AC255D"/>
    <w:rsid w:val="00AC2A37"/>
    <w:rsid w:val="00AC7E15"/>
    <w:rsid w:val="00AD14DF"/>
    <w:rsid w:val="00AD253C"/>
    <w:rsid w:val="00AD69DC"/>
    <w:rsid w:val="00AE3C37"/>
    <w:rsid w:val="00AE56C5"/>
    <w:rsid w:val="00AF14BE"/>
    <w:rsid w:val="00AF5405"/>
    <w:rsid w:val="00B032EF"/>
    <w:rsid w:val="00B05269"/>
    <w:rsid w:val="00B164E5"/>
    <w:rsid w:val="00B307A5"/>
    <w:rsid w:val="00B30EC3"/>
    <w:rsid w:val="00B330BB"/>
    <w:rsid w:val="00B43D51"/>
    <w:rsid w:val="00B507B0"/>
    <w:rsid w:val="00B6318E"/>
    <w:rsid w:val="00B74617"/>
    <w:rsid w:val="00B77A22"/>
    <w:rsid w:val="00B81B03"/>
    <w:rsid w:val="00B825C5"/>
    <w:rsid w:val="00B87496"/>
    <w:rsid w:val="00B87A1E"/>
    <w:rsid w:val="00B9126C"/>
    <w:rsid w:val="00B95BA6"/>
    <w:rsid w:val="00BB444B"/>
    <w:rsid w:val="00BB5EC2"/>
    <w:rsid w:val="00BC5059"/>
    <w:rsid w:val="00BC600C"/>
    <w:rsid w:val="00BC7F3A"/>
    <w:rsid w:val="00BD0DD4"/>
    <w:rsid w:val="00BE2FED"/>
    <w:rsid w:val="00BE7DD6"/>
    <w:rsid w:val="00C105AE"/>
    <w:rsid w:val="00C15219"/>
    <w:rsid w:val="00C405D2"/>
    <w:rsid w:val="00C45985"/>
    <w:rsid w:val="00C51D54"/>
    <w:rsid w:val="00C55425"/>
    <w:rsid w:val="00C572E2"/>
    <w:rsid w:val="00C63FF2"/>
    <w:rsid w:val="00C6671F"/>
    <w:rsid w:val="00C7579E"/>
    <w:rsid w:val="00C84517"/>
    <w:rsid w:val="00CB0C20"/>
    <w:rsid w:val="00CC1D6C"/>
    <w:rsid w:val="00CC7816"/>
    <w:rsid w:val="00CE2DE5"/>
    <w:rsid w:val="00CF6BAE"/>
    <w:rsid w:val="00D00C26"/>
    <w:rsid w:val="00D03FFA"/>
    <w:rsid w:val="00D22A71"/>
    <w:rsid w:val="00D3031A"/>
    <w:rsid w:val="00D45846"/>
    <w:rsid w:val="00D47165"/>
    <w:rsid w:val="00D57AFC"/>
    <w:rsid w:val="00D62EB7"/>
    <w:rsid w:val="00D643CD"/>
    <w:rsid w:val="00D749EA"/>
    <w:rsid w:val="00D8374C"/>
    <w:rsid w:val="00D857A2"/>
    <w:rsid w:val="00D95739"/>
    <w:rsid w:val="00DA1CE4"/>
    <w:rsid w:val="00DA4C4B"/>
    <w:rsid w:val="00DB367C"/>
    <w:rsid w:val="00DB6388"/>
    <w:rsid w:val="00DC6AD5"/>
    <w:rsid w:val="00DD0C90"/>
    <w:rsid w:val="00DD256E"/>
    <w:rsid w:val="00DD34D7"/>
    <w:rsid w:val="00DE1E7E"/>
    <w:rsid w:val="00DE48A4"/>
    <w:rsid w:val="00DE4A71"/>
    <w:rsid w:val="00DF2DD7"/>
    <w:rsid w:val="00E100C2"/>
    <w:rsid w:val="00E141C1"/>
    <w:rsid w:val="00E166E5"/>
    <w:rsid w:val="00E30FB4"/>
    <w:rsid w:val="00E36504"/>
    <w:rsid w:val="00E56FFB"/>
    <w:rsid w:val="00E57E16"/>
    <w:rsid w:val="00E6189A"/>
    <w:rsid w:val="00E64242"/>
    <w:rsid w:val="00E80348"/>
    <w:rsid w:val="00E82B9A"/>
    <w:rsid w:val="00E85E40"/>
    <w:rsid w:val="00E860A8"/>
    <w:rsid w:val="00E87BE0"/>
    <w:rsid w:val="00EA05E0"/>
    <w:rsid w:val="00EA24D6"/>
    <w:rsid w:val="00EA7856"/>
    <w:rsid w:val="00EA7F4D"/>
    <w:rsid w:val="00EB4DBC"/>
    <w:rsid w:val="00EC5B43"/>
    <w:rsid w:val="00EC734E"/>
    <w:rsid w:val="00ED6B92"/>
    <w:rsid w:val="00EE403D"/>
    <w:rsid w:val="00EF2D1F"/>
    <w:rsid w:val="00EF4E2F"/>
    <w:rsid w:val="00EF6DF4"/>
    <w:rsid w:val="00F04822"/>
    <w:rsid w:val="00F060BC"/>
    <w:rsid w:val="00F12FD9"/>
    <w:rsid w:val="00F13289"/>
    <w:rsid w:val="00F1623D"/>
    <w:rsid w:val="00F1701D"/>
    <w:rsid w:val="00F23E12"/>
    <w:rsid w:val="00F23E8D"/>
    <w:rsid w:val="00F24820"/>
    <w:rsid w:val="00F27C6A"/>
    <w:rsid w:val="00F31692"/>
    <w:rsid w:val="00F338EA"/>
    <w:rsid w:val="00F44658"/>
    <w:rsid w:val="00F47DE6"/>
    <w:rsid w:val="00F53E84"/>
    <w:rsid w:val="00F63B54"/>
    <w:rsid w:val="00F6633D"/>
    <w:rsid w:val="00F73723"/>
    <w:rsid w:val="00F74387"/>
    <w:rsid w:val="00F76FF4"/>
    <w:rsid w:val="00F81B4E"/>
    <w:rsid w:val="00F921BC"/>
    <w:rsid w:val="00F93E35"/>
    <w:rsid w:val="00FA536C"/>
    <w:rsid w:val="00FA561C"/>
    <w:rsid w:val="00FD4DD5"/>
    <w:rsid w:val="00FE2D96"/>
    <w:rsid w:val="00FF6970"/>
    <w:rsid w:val="00FF7383"/>
    <w:rsid w:val="00FF7AC0"/>
    <w:rsid w:val="047F1CF5"/>
    <w:rsid w:val="055589A6"/>
    <w:rsid w:val="058E97FB"/>
    <w:rsid w:val="05BA01E6"/>
    <w:rsid w:val="0832CABD"/>
    <w:rsid w:val="0841DEFE"/>
    <w:rsid w:val="0D4082C2"/>
    <w:rsid w:val="13B06037"/>
    <w:rsid w:val="13EF2B8F"/>
    <w:rsid w:val="141A957A"/>
    <w:rsid w:val="168E64FB"/>
    <w:rsid w:val="177BF116"/>
    <w:rsid w:val="18E67EB9"/>
    <w:rsid w:val="199020B9"/>
    <w:rsid w:val="199484ED"/>
    <w:rsid w:val="1A88DADF"/>
    <w:rsid w:val="1AA85C30"/>
    <w:rsid w:val="1AC0559D"/>
    <w:rsid w:val="1BB352C0"/>
    <w:rsid w:val="1BF0BD52"/>
    <w:rsid w:val="1C21EFC6"/>
    <w:rsid w:val="1C71C604"/>
    <w:rsid w:val="1D391E74"/>
    <w:rsid w:val="20CDA76B"/>
    <w:rsid w:val="21A2E724"/>
    <w:rsid w:val="22518686"/>
    <w:rsid w:val="23DBB66E"/>
    <w:rsid w:val="254398E1"/>
    <w:rsid w:val="262ED6D6"/>
    <w:rsid w:val="26FAA23C"/>
    <w:rsid w:val="27D132FC"/>
    <w:rsid w:val="29AB09E0"/>
    <w:rsid w:val="2A1D2B92"/>
    <w:rsid w:val="2B93F505"/>
    <w:rsid w:val="2B988791"/>
    <w:rsid w:val="307186C5"/>
    <w:rsid w:val="30B21A1A"/>
    <w:rsid w:val="317819BB"/>
    <w:rsid w:val="32CA1F7C"/>
    <w:rsid w:val="341620E6"/>
    <w:rsid w:val="3702763E"/>
    <w:rsid w:val="384E94BB"/>
    <w:rsid w:val="3941E1A4"/>
    <w:rsid w:val="3C3894C0"/>
    <w:rsid w:val="3CE236C0"/>
    <w:rsid w:val="3CE69AF4"/>
    <w:rsid w:val="3FC3DC0B"/>
    <w:rsid w:val="418E9EAE"/>
    <w:rsid w:val="46BBD804"/>
    <w:rsid w:val="489045D2"/>
    <w:rsid w:val="49015744"/>
    <w:rsid w:val="494A49FB"/>
    <w:rsid w:val="495BAE89"/>
    <w:rsid w:val="4980ECDD"/>
    <w:rsid w:val="4AB15492"/>
    <w:rsid w:val="4BF9B5B4"/>
    <w:rsid w:val="4D4AFF80"/>
    <w:rsid w:val="4D76696B"/>
    <w:rsid w:val="4EE60B0C"/>
    <w:rsid w:val="5165F1AC"/>
    <w:rsid w:val="554C9143"/>
    <w:rsid w:val="55CD99F5"/>
    <w:rsid w:val="57A33C34"/>
    <w:rsid w:val="586BA120"/>
    <w:rsid w:val="5D469EA0"/>
    <w:rsid w:val="605998CC"/>
    <w:rsid w:val="614C883E"/>
    <w:rsid w:val="64E0B4B5"/>
    <w:rsid w:val="6559FE39"/>
    <w:rsid w:val="677CC720"/>
    <w:rsid w:val="689D9A61"/>
    <w:rsid w:val="68F5B294"/>
    <w:rsid w:val="6A0DEE0B"/>
    <w:rsid w:val="6ACBEA9A"/>
    <w:rsid w:val="6C346124"/>
    <w:rsid w:val="7125A29F"/>
    <w:rsid w:val="752A336E"/>
    <w:rsid w:val="7563E26B"/>
    <w:rsid w:val="7736C4D7"/>
    <w:rsid w:val="78DA35D4"/>
    <w:rsid w:val="7BD7D495"/>
    <w:rsid w:val="7FBB91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F8F5"/>
  <w15:chartTrackingRefBased/>
  <w15:docId w15:val="{872189C2-CB43-4C91-AED8-9ED69D37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B54"/>
  </w:style>
  <w:style w:type="paragraph" w:styleId="Heading1">
    <w:name w:val="heading 1"/>
    <w:basedOn w:val="Normal"/>
    <w:next w:val="Normal"/>
    <w:link w:val="Heading1Char"/>
    <w:uiPriority w:val="9"/>
    <w:qFormat/>
    <w:rsid w:val="00CF6B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3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B54"/>
    <w:pPr>
      <w:ind w:left="720"/>
      <w:contextualSpacing/>
    </w:pPr>
  </w:style>
  <w:style w:type="character" w:styleId="Hyperlink">
    <w:name w:val="Hyperlink"/>
    <w:basedOn w:val="DefaultParagraphFont"/>
    <w:uiPriority w:val="99"/>
    <w:unhideWhenUsed/>
    <w:rsid w:val="00F63B54"/>
    <w:rPr>
      <w:color w:val="0563C1" w:themeColor="hyperlink"/>
      <w:u w:val="single"/>
    </w:rPr>
  </w:style>
  <w:style w:type="paragraph" w:styleId="FootnoteText">
    <w:name w:val="footnote text"/>
    <w:basedOn w:val="Normal"/>
    <w:link w:val="FootnoteTextChar"/>
    <w:uiPriority w:val="99"/>
    <w:semiHidden/>
    <w:unhideWhenUsed/>
    <w:rsid w:val="00F63B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B54"/>
    <w:rPr>
      <w:sz w:val="20"/>
      <w:szCs w:val="20"/>
    </w:rPr>
  </w:style>
  <w:style w:type="character" w:styleId="FootnoteReference">
    <w:name w:val="footnote reference"/>
    <w:basedOn w:val="DefaultParagraphFont"/>
    <w:uiPriority w:val="99"/>
    <w:semiHidden/>
    <w:unhideWhenUsed/>
    <w:rsid w:val="00F63B54"/>
    <w:rPr>
      <w:vertAlign w:val="superscript"/>
    </w:rPr>
  </w:style>
  <w:style w:type="character" w:styleId="UnresolvedMention">
    <w:name w:val="Unresolved Mention"/>
    <w:basedOn w:val="DefaultParagraphFont"/>
    <w:uiPriority w:val="99"/>
    <w:unhideWhenUsed/>
    <w:rsid w:val="006700B0"/>
    <w:rPr>
      <w:color w:val="605E5C"/>
      <w:shd w:val="clear" w:color="auto" w:fill="E1DFDD"/>
    </w:rPr>
  </w:style>
  <w:style w:type="character" w:styleId="CommentReference">
    <w:name w:val="annotation reference"/>
    <w:basedOn w:val="DefaultParagraphFont"/>
    <w:uiPriority w:val="99"/>
    <w:semiHidden/>
    <w:unhideWhenUsed/>
    <w:rsid w:val="00040714"/>
    <w:rPr>
      <w:sz w:val="16"/>
      <w:szCs w:val="16"/>
    </w:rPr>
  </w:style>
  <w:style w:type="paragraph" w:styleId="CommentText">
    <w:name w:val="annotation text"/>
    <w:basedOn w:val="Normal"/>
    <w:link w:val="CommentTextChar"/>
    <w:uiPriority w:val="99"/>
    <w:unhideWhenUsed/>
    <w:rsid w:val="00040714"/>
    <w:pPr>
      <w:spacing w:line="240" w:lineRule="auto"/>
    </w:pPr>
    <w:rPr>
      <w:sz w:val="20"/>
      <w:szCs w:val="20"/>
    </w:rPr>
  </w:style>
  <w:style w:type="character" w:customStyle="1" w:styleId="CommentTextChar">
    <w:name w:val="Comment Text Char"/>
    <w:basedOn w:val="DefaultParagraphFont"/>
    <w:link w:val="CommentText"/>
    <w:uiPriority w:val="99"/>
    <w:rsid w:val="00040714"/>
    <w:rPr>
      <w:sz w:val="20"/>
      <w:szCs w:val="20"/>
    </w:rPr>
  </w:style>
  <w:style w:type="paragraph" w:styleId="CommentSubject">
    <w:name w:val="annotation subject"/>
    <w:basedOn w:val="CommentText"/>
    <w:next w:val="CommentText"/>
    <w:link w:val="CommentSubjectChar"/>
    <w:uiPriority w:val="99"/>
    <w:semiHidden/>
    <w:unhideWhenUsed/>
    <w:rsid w:val="00040714"/>
    <w:rPr>
      <w:b/>
      <w:bCs/>
    </w:rPr>
  </w:style>
  <w:style w:type="character" w:customStyle="1" w:styleId="CommentSubjectChar">
    <w:name w:val="Comment Subject Char"/>
    <w:basedOn w:val="CommentTextChar"/>
    <w:link w:val="CommentSubject"/>
    <w:uiPriority w:val="99"/>
    <w:semiHidden/>
    <w:rsid w:val="00040714"/>
    <w:rPr>
      <w:b/>
      <w:bCs/>
      <w:sz w:val="20"/>
      <w:szCs w:val="20"/>
    </w:rPr>
  </w:style>
  <w:style w:type="paragraph" w:styleId="Header">
    <w:name w:val="header"/>
    <w:basedOn w:val="Normal"/>
    <w:link w:val="HeaderChar"/>
    <w:uiPriority w:val="99"/>
    <w:semiHidden/>
    <w:unhideWhenUsed/>
    <w:rsid w:val="005625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25A9"/>
  </w:style>
  <w:style w:type="paragraph" w:styleId="Footer">
    <w:name w:val="footer"/>
    <w:basedOn w:val="Normal"/>
    <w:link w:val="FooterChar"/>
    <w:uiPriority w:val="99"/>
    <w:semiHidden/>
    <w:unhideWhenUsed/>
    <w:rsid w:val="005625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25A9"/>
  </w:style>
  <w:style w:type="character" w:styleId="Mention">
    <w:name w:val="Mention"/>
    <w:basedOn w:val="DefaultParagraphFont"/>
    <w:uiPriority w:val="99"/>
    <w:unhideWhenUsed/>
    <w:rsid w:val="001A434B"/>
    <w:rPr>
      <w:color w:val="2B579A"/>
      <w:shd w:val="clear" w:color="auto" w:fill="E6E6E6"/>
    </w:rPr>
  </w:style>
  <w:style w:type="character" w:styleId="FollowedHyperlink">
    <w:name w:val="FollowedHyperlink"/>
    <w:basedOn w:val="DefaultParagraphFont"/>
    <w:uiPriority w:val="99"/>
    <w:semiHidden/>
    <w:unhideWhenUsed/>
    <w:rsid w:val="006D5FEE"/>
    <w:rPr>
      <w:color w:val="954F72" w:themeColor="followedHyperlink"/>
      <w:u w:val="single"/>
    </w:rPr>
  </w:style>
  <w:style w:type="paragraph" w:styleId="Revision">
    <w:name w:val="Revision"/>
    <w:hidden/>
    <w:uiPriority w:val="99"/>
    <w:semiHidden/>
    <w:rsid w:val="007F25EF"/>
    <w:pPr>
      <w:spacing w:after="0" w:line="240" w:lineRule="auto"/>
    </w:pPr>
  </w:style>
  <w:style w:type="character" w:customStyle="1" w:styleId="Heading1Char">
    <w:name w:val="Heading 1 Char"/>
    <w:basedOn w:val="DefaultParagraphFont"/>
    <w:link w:val="Heading1"/>
    <w:uiPriority w:val="9"/>
    <w:rsid w:val="00CF6BAE"/>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E87B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2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t.nz/our-work/overall-strategies-and-policies/the-statement-of-national-education-and-learning-priorities-nelp-and-the-tertiary-education-strategy-tes/" TargetMode="External"/><Relationship Id="rId13" Type="http://schemas.openxmlformats.org/officeDocument/2006/relationships/hyperlink" Target="https://curriculumrefresh.education.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govt.nz/school/schools-planning-and-repor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t.nz/act/public/2020/0038/latest/LMS266143.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zcurriculum.tki.org.nz/The-New-Zealand-Curriculum/Social-sciences/" TargetMode="External"/><Relationship Id="rId4" Type="http://schemas.openxmlformats.org/officeDocument/2006/relationships/settings" Target="settings.xml"/><Relationship Id="rId9" Type="http://schemas.openxmlformats.org/officeDocument/2006/relationships/hyperlink" Target="https://nzcurriculum.tki.org.nz/The-New-Zealand-Curriculum/Technology"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gazette.govt.nz/notice/id/2023-go5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8E7EE-9943-4024-9E23-51F5CAE86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1181</Words>
  <Characters>6733</Characters>
  <Application>Microsoft Office Word</Application>
  <DocSecurity>0</DocSecurity>
  <Lines>56</Lines>
  <Paragraphs>15</Paragraphs>
  <ScaleCrop>false</ScaleCrop>
  <Company>Ministry of Education</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Fahey</dc:creator>
  <cp:keywords/>
  <dc:description/>
  <cp:lastModifiedBy>Sajitha Sivers</cp:lastModifiedBy>
  <cp:revision>3</cp:revision>
  <dcterms:created xsi:type="dcterms:W3CDTF">2023-12-19T20:44:00Z</dcterms:created>
  <dcterms:modified xsi:type="dcterms:W3CDTF">2023-12-19T20:46:00Z</dcterms:modified>
</cp:coreProperties>
</file>